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ATAS/636/2024 vom 21. August 2024</w:t>
      </w:r>
    </w:p>
    <w:p>
      <w:r>
        <w:t>GE Cour de justice, 2024-08-21, FR</w:t>
      </w:r>
    </w:p>
    <w:p>
      <w:r>
        <w:rPr>
          <w:b/>
        </w:rPr>
        <w:t xml:space="preserve">Quelle: </w:t>
      </w:r>
      <w:r>
        <w:t>https://mcp.opencaselaw.ch/entscheid/ge_gerichte_ATAS_636_2024</w:t>
      </w:r>
    </w:p>
    <w:p>
      <w:r>
        <w:t>FR: GE_GERICHTE ATAS/636/2024 du 21 août 2024</w:t>
      </w:r>
    </w:p>
    <w:p>
      <w:r>
        <w:t>IT: GE_GERICHTE ATAS/636/2024 del 21 agosto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 LACI, à moins que la loi n’y déroge expressément.</w:t>
      </w:r>
    </w:p>
    <w:p>
      <w:r>
        <w:rPr>
          <w:b/>
        </w:rPr>
        <w:t>E. 1.3</w:t>
      </w:r>
    </w:p>
    <w:p>
      <w:r>
        <w:t>Interjeté dans la forme (art. 61 let. b LPGA, applicable par le renvoi de l'art. 1 al. 1 LACI) et le délai de trente jours (art. 60 al. 1 LPGA ; art. 62 al. 1 let. a de la loi sur la procédure administrative du 12 septembre 1985 [LPA - E 5 10]) prévus par la loi, le recours est recevable.</w:t>
      </w:r>
    </w:p>
    <w:p>
      <w:r>
        <w:rPr>
          <w:b/>
        </w:rPr>
        <w:t>E. 2</w:t>
      </w:r>
    </w:p>
    <w:p>
      <w:r>
        <w:t>Le litige porte sur la date de début du délai-cadre d'indemnisation et le nombre total d'indemnités auquel la recourante a droit ainsi que sur l'examen des conditions de la révision de la décision du 12 août 2021.</w:t>
      </w:r>
    </w:p>
    <w:p>
      <w:r>
        <w:rPr>
          <w:b/>
        </w:rPr>
        <w:t>E. 3.1</w:t>
      </w:r>
    </w:p>
    <w:p>
      <w:r>
        <w:t>Dans sa réponse du 22 mars 2024, l'intimée a conclu à l'irrecevabilité des conclusions du recours au motif que l'ouverture du délai-cadre d'indemnisation au 1er juin 2021 avait déjà fait l'objet de la décision sur opposition négative du 12 août 2021, non contestée par la recourante et donc entrée en force de chose décidée. À la lecture de la décision dont est recours (décision sur opposition du 24 janvier 2024), la chambre de céans constate que l'intimée n'a pas examiné les conditions d'une révision procédurale (art. 53 al. 1 LPGA) ou d'une reconsidération (art. 53 al. 2 LPGA) de la décision du 12 août 2021. Il s'agit donc d'examiner, en premier lieu, si les conditions posées par l'art. 53 LPGA sont remplies dans le cas d'espèce.</w:t>
      </w:r>
    </w:p>
    <w:p>
      <w:r>
        <w:t>A/723/2024 - 7/18 -</w:t>
      </w:r>
    </w:p>
    <w:p>
      <w:r>
        <w:rPr>
          <w:b/>
        </w:rPr>
        <w:t>E. 3.2</w:t>
      </w:r>
    </w:p>
    <w:p>
      <w:r>
        <w:t>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 12 novembre 2014 consid. 5c). Sont "nouveaux" au sens de l’art. 53 al. 1 LPGA (révision),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w:t>
      </w:r>
    </w:p>
    <w:p>
      <w:r>
        <w:t>A/723/2024 - 8/18 - essentiels pour la décision (ATF 127 V 353 consid. 5b ; arrêt du Tribunal fédéral 9C_142/2018 du 24 avril 2018 consid. 4.3.1). Le qualificatif « nouveaux » se rapporte donc exclusivement à la découverte après coup des faits ou moyens de preuve et non pas à l’existence des faits ou moyens de preuve ; ceux-ci étaient survenus ou existaient déjà au moment de la décision soumise à révision, mais n’étaient pas connus de l’assureur social ou de la personne assurée qui les invoque par la suite. Les faits ou moyens de preuve postérieurs à la décision administrative sont en principe exclus (Margit MOSER- SZELESS, in Commentaire romand, LPGA, 2018, n. 46 ad art. 53 LPGA). Comme condition supplémentaire à la révision au sens de l’art. 53 al. 1 LPGA, il faut que les faits ou moyens de preuve n’aient pas été connus de la personne requérant la révision ou de l’assureur social qui entend réviser sa décision, malgré toute sa diligence (Margit MOSER-SZELESS, op. cit., n. 53 ad art. 53 LPGA). Il appartient au requérant qui se fonde sur un nouveau moyen de preuve destiné à prouver des faits allégués antérieurement dans la procédure précédente de démontrer qu’il ne pouvait pas invoquer ce moyen précédemment. Il doit pouvoir se prévaloir d’une excuse valable pour justifier le fait que le moyen en cause n’a pas été invoqué en temps utile. En effet, la révision ne doit pas servir à réparer une omission qui aurait pu être évitée par un requérant diligent ; en cela, elle est un moyen subsidiaire par rapport aux voies de droit ordinaires. La diligence requise sera appréciée avec moins de sévérité en ce qui concerne l’ignorance des faits, dont la découverte est souvent due au hasard, que l’insuffisance des preuves au sujet de faits connus, la partie ayant le devoir de tout mettre en œuvre pour prouver ceux-ci dans la procédure (Margit MOSER-SZELESS, op. cit., n. 54 ad art. 53 LPGA). En dehors des conditions prévues par son art. 53 al. 1, la LPGA ne comprend pas de règles de procédure concernant la révision procédurale ; elle ne prévoit en particulier pas de délais dans lesquels la requête de révision devrait être présentée. La jurisprudence a posé des règles à ce sujet : en vertu du renvoi de l’art. 55 al. 1 LPGA, sont déterminants les délais applicables à la révision de décisions rendues sur recours par une autorité soumise à la loi fédérale sur la procédure administrative du 20 décembre 1968 (PA - RS 172.021 ; art. 67 al. 1 et 2 PA ; arrêt du Tribunal fédéral I 276/04 du 28 juillet 2005 consid. 2), cette réglementation constituant au demeurant un principe général (Margit MOSER- SZELESS, op. cit., n. 60 ad art. 53 LPGA et les références citées). 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Pour juger s'il est admissible de reconsidérer une décision pour le motif qu'elle est sans nul doute erronée, il faut se fonder sur les faits et la situation juridique existant au moment où cette décision a été rendue, compte tenu</w:t>
      </w:r>
    </w:p>
    <w:p>
      <w:r>
        <w:t>A/723/2024 - 9/18 -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Tribunal fédéral 9C_508/2015 du 4 mars 2016 consid. 3 et 9C_575/2007 du 18 octobre 2007 consid. 2.2).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 50 consid. 4 ; 119 V 475 consid. 1b/cc ; arrêt du Tribunal fédéral 8C_495/2008 du 11 mars 2009 consid. 3.2). Le contrôle juridictionnel dans la procédure de recours subséquente se limite alors au point de savoir si les conditions d'une reconsidération (inexactitude manifeste de la décision initiale et importance notable de la rectification) sont réunies (arrêt du Tribunal fédéral 8C_866/2009 du 27 avril 2010 consid. 2.3 et les références citées).</w:t>
      </w:r>
    </w:p>
    <w:p>
      <w:r>
        <w:rPr>
          <w:b/>
        </w:rPr>
        <w:t>E. 3.3</w:t>
      </w:r>
    </w:p>
    <w:p>
      <w:r>
        <w:t>En l'espèce, la recourante se prévaut d'un cas de révision au sens de l'art. 53 al. 1 LPGA en invoquant, d'une part, de la radiation du RC de l'entreprise individuelle intervenue le 4 janvier 2022, ainsi que de la promesse de vente du fonds de commerce du 7 avril 2021 et du transfert du bail commercial du magasin du 26 avril 2021 pour requérir la modification de la décision du 12 août 2021 à l'encontre de laquelle elle n'avait pas fait recours et qui était donc entrée en force de chose décidée. En l'occurrence, la question de savoir si le fait et les moyens de preuve susmentionnés doivent être considérés comme nouveaux au sens de l'art. 53 al. 1 LPGA peut rester ouverte au vu de ce qui suit.</w:t>
      </w:r>
    </w:p>
    <w:p>
      <w:r>
        <w:t>A/723/2024 - 10/18 - Au surplus, s'agissant d'une reconsidération de la décision du 12 août 2021 au sens de l'art. 53 al. 2 LPGA, il apparaît que celle-ci n'était pas manifestement erronée pour les motifs indiqués ci-après.</w:t>
      </w:r>
    </w:p>
    <w:p>
      <w:r>
        <w:rPr>
          <w:b/>
        </w:rPr>
        <w:t>E. 4</w:t>
      </w:r>
    </w:p>
    <w:p>
      <w:r>
        <w:t>janvier 2022 et a retenu un droit maximum à 260 indemnités journalières en application de l'art. 27 al. 2 let. a LACI.</w:t>
      </w:r>
    </w:p>
    <w:p>
      <w:r>
        <w:rPr>
          <w:b/>
        </w:rPr>
        <w:t>E. 4.1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SECO) en sa qualité d’autorité de surveillance de l’assurance-chômage chargée d’assurer une application uniforme du droit (art. 110 LACI), notamment par le biais de la Directive LACI IC (ci-après : Bulletin LACI IC). 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 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w:t>
      </w:r>
    </w:p>
    <w:p>
      <w:r>
        <w:t>A/723/2024 - 11/18 - activités dans le cadre de son but social.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 2014 du 7 avril 2015 consid. 4 ; arrêt du Tribuna fédéral des assurances C 156/06 du 7 décembre 2006 consid. 2).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w:t>
      </w:r>
    </w:p>
    <w:p>
      <w:r>
        <w:t>A/723/2024 - 12/18 -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92/02 du 14 avril 2003 consid. 4 et C 163/04 du 29 août 2005 consid. 2.2). La jurisprudence étend l'exclusion du conjoint du droit à l'indemnité en cas de réduction de l'horaire de travail (art. 31 al. 3 let. b LACI) au droit à l'indemnité de chômage (ATF 145 V 200).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arrêts du Tribunal fédéral 8C_163/2016 du 17 octobre 2016 consid 4.2 et 8C_231/2012 du 16 août 2012 consid. 3.2 ; Boris RUBIN, Commentaire de la loi sur l'assurance-chômage, 2014, n. 24 ss ad art. 10). Ainsi,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(arrêt du Tribunal fédéral des assurances C 171/03 du 31 mars 2004 consid. 2.3.2). Le droit à l'indemnité du conjoint ne peut être nié que tant que le dirigeant est lié à ladite entreprise. Cette règle s'applique quel que soit le régime matrimonial. La possibilité facilitée de réengager le conjoint fait apparaître son chômage comme étant une RHT potentielle. L'exclusion s'applique, que l'entreprise soit une société commerciale ou une entreprise individuelle. Pour des raisons de sécurité juridique, au conjoint est assimilée la personne simplement séparée de fait du conjoint (Boris RUBIN, op. cit., n. 27 ad art. 10 et les références citées). Une rupture définitive de tout lien avec l’entreprise continuant d’exister est aussi admise lorsque l’assuré a divorcé de la personne occupant une position dirigeante au sein de cette entreprise, mais il ne suffit pas que les époux soient séparés de fait ou de droit ou que des mesures protectrices de l’union conjugale aient été ordonnées (ATF 142 V 263 ; arrêt du Tribunal fédéral 8C_574/2017 du</w:t>
      </w:r>
    </w:p>
    <w:p>
      <w:r>
        <w:rPr>
          <w:b/>
        </w:rPr>
        <w:t>E. 4.2</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4.3.1</w:t>
      </w:r>
    </w:p>
    <w:p>
      <w:r>
        <w:t>En l'espèce, dans un premier moyen, la recourante fait valoir qu'elle est séparée de fait de son époux et qu'ils se sont constitués des domiciles séparés depuis janvier 2021, de sorte que le maintien du lien conjugal, purement formel,</w:t>
      </w:r>
    </w:p>
    <w:p>
      <w:r>
        <w:t>A/723/2024 - 16/18 - ne saurait fonder le moindre pouvoir décisionnel de sa part au sein de l'entreprise individuelle de son époux. En application de la jurisprudence fédérale, il ne suffit cependant pas que les époux soient séparés de fait ou de droit ou que des mesures protectrices de l’union conjugale aient été ordonnées pour qu'une rupture définitive de tout lien avec l'entreprise continuant d'exister soit admise (ATF 142 V 263 ; arrêt du Tribunal fédéral 8C_574/2017 du 4 septembre 2018 consid. 5.2). Par conséquent, la séparation de fait entre la recourante et son époux, qui n'ont, de l'aveu de la première, pas entamé de procédure de séparation officielle, ne permet pas de considérer que les liens entre la recourante et l'entreprise individuelle, au travers de son époux, seraient définitivement rompus. Ce premier moyen ne permet donc pas de retenir que la décision sur opposition du 12 août 2021, niant à la recourante son droit à l'indemnité de chômage dès le 1er juin 2021, serait inexacte.</w:t>
      </w:r>
    </w:p>
    <w:p>
      <w:r>
        <w:rPr>
          <w:b/>
        </w:rPr>
        <w:t>E. 4.3.2</w:t>
      </w:r>
    </w:p>
    <w:p>
      <w:r>
        <w:t>Dans un second moyen, la recourante soutient que, dès le 1er juin 2021, ni elle, ni son époux n'étaient en mesure d'influencer de manière déterminante les décisions de l'entreprise individuelle au vu de la promesse de vente du fonds de commerce prévoyant le transfert des actifs le 1er mai 2021, ainsi qu'en raison du transfert du bail du magasin d'alimentation dès le 15 mai 2021. Ainsi, aux dires de la recourante, ces deux éléments empêchaient l'entreprise individuelle de déployer une quelconque activité dès le 1er juin 2021, faute de matériel et de locaux. En l'occurrence, la recourante a travaillé dès 2017 et jusqu'au 31 mai 2021 auprès de l'entreprise individuelle dont le titulaire et unique propriétaire était son époux, jusqu'à la radiation de société du RC intervenue le 4 janvier 2022. L'entreprise individuelle existait donc toujours lorsque l'intimé a rendu la décision du 11 juin 2021 et la décision sur opposition du 12 août 2021. La recourante se trouvait donc, par l'intermédiaire de son époux, dans une position permettant d'influencer de manière déterminante les décisions de son dernier employeur, de sorte qu'elle ne pouvait en principe pas prétendre à l'octroi d'indemnités de chômage au sens de l'art. 31 al. 3 let. c LACI. La recourante a, certes, produit la promesse de vente du fonds de commerce, le transfert du bail commercial et l'attestation de la FER CIAM indiquant que l'entreprise individuelle n'occupait plus de personnel depuis le 1er juin 2021, ce qui tendait à démontrer que l'entreprise individuelle avait cessé d'exploiter le magasin d'alimentation à l'adresse sise à D______ à Meyrin dès cette date et que la Sàrl avait repris la même activité à cette même adresse dès le 1er juin 2021 à tout le moins. Toutefois, en application de la jurisprudence fédérale, ces circonstances ne permettent pas d'exclure tout risque de reprise d'une activité de l'entreprise individuelle dans des délais relativement brefs qui ne serait pas aisément vérifiable par l'intimée. Il est à ce propos relevé que le but social de cette société (« magasin d'alimentation ») est suffisamment large pour permettre à l'époux de la</w:t>
      </w:r>
    </w:p>
    <w:p>
      <w:r>
        <w:t>A/723/2024 - 17/18 - recourante de reprendre d'un autre magasin existant déjà, par exemple. Dans un tel cas de figure, la jurisprudence fédérale exclut d'assimiler l'intéressé à un assuré qui aurait définitivement quitté l'entreprise qui l'employait, en raison de la fermeture de celle-ci (cf. notamment l'arrêt du Tribunal fédéral 8C_492/2008 du 21 janvier 2009 consid. 3). Ce second moyen tombe donc aussi à faux.</w:t>
      </w:r>
    </w:p>
    <w:p>
      <w:r>
        <w:rPr>
          <w:b/>
        </w:rPr>
        <w:t>E. 4.4</w:t>
      </w:r>
    </w:p>
    <w:p>
      <w:r>
        <w:t>Dans ces circonstances, la chambre de céans retiendra que c'est à bon droit, au vu de la jurisprudence restrictive du Tribunal fédéral, que l'intimée a dénié à la recourante le droit à l'indemnité de chômage pour la période du 1er juin 2021 au</w:t>
      </w:r>
    </w:p>
    <w:p>
      <w:r>
        <w:rPr>
          <w:b/>
        </w:rPr>
        <w:t>E. 5</w:t>
      </w:r>
    </w:p>
    <w:p>
      <w:r>
        <w:t>Compte tenu de ce qui précède, le recours est rejeté. Pour le surplus, la procédure est gratuite (art. 61 let. fbis a contrario LPGA).</w:t>
      </w:r>
    </w:p>
    <w:p>
      <w:r>
        <w:t>A/723/2024 - 18/18 -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