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ATAS/636/2018 vom 10. Juli 2018</w:t>
      </w:r>
    </w:p>
    <w:p>
      <w:r>
        <w:t>GE Cour de justice, 2018-07-10, FR</w:t>
      </w:r>
    </w:p>
    <w:p>
      <w:r>
        <w:rPr>
          <w:b/>
        </w:rPr>
        <w:t xml:space="preserve">Quelle: </w:t>
      </w:r>
      <w:r>
        <w:t>https://mcp.opencaselaw.ch/entscheid/ge_gerichte_ATAS_636_2018</w:t>
      </w:r>
    </w:p>
    <w:p>
      <w:r>
        <w:t>FR: GE_GERICHTE ATAS/636/2018 du 10 juillet 2018</w:t>
      </w:r>
    </w:p>
    <w:p>
      <w:r>
        <w:t>IT: GE_GERICHTE ATAS/636/2018 del 10 luglio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A/210/2018 - 10/24 -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w:t>
      </w:r>
    </w:p>
    <w:p>
      <w:r>
        <w:t>A/210/2018 - 11/24 -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w:t>
      </w:r>
    </w:p>
    <w:p>
      <w:r>
        <w:t>A/210/2018 - 12/24 -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t>A/210/2018 - 13/24 - 3.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w:t>
      </w:r>
    </w:p>
    <w:p>
      <w:r>
        <w:t>A/210/2018 - 14/24 -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w:t>
      </w:r>
    </w:p>
    <w:p>
      <w:r>
        <w:t>A/210/2018 - 15/24 - et que d'éventuelles appréciations contraires n'ont pas de valeur probante du fait qu'elles proviennent de médecins n'ayant pas une qualification spécialisée ou pour d'autres raisons (voir ATF 134 V 231 consid. 5.1; ATF 125 V 351 consid. 3a).</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w:t>
      </w:r>
    </w:p>
    <w:p>
      <w:r>
        <w:t>A/210/2018 - 19/24 -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15</w:t>
      </w:r>
    </w:p>
    <w:p>
      <w:r>
        <w:t>Dater la survenance de l’incapacité de travail durable, le cas échéant, indiquer l'évolution de son taux et décrire son évolution.</w:t>
      </w:r>
    </w:p>
    <w:p>
      <w:r>
        <w:rPr>
          <w:b/>
        </w:rPr>
        <w:t>E. 16</w:t>
      </w:r>
    </w:p>
    <w:p>
      <w:r>
        <w:t>Évaluer l'exigibilité, en pourcent, d'une activité lucrative adaptée, indiquer depuis quand une telle activité est exigible et quel est le domaine d'activité adapté.</w:t>
      </w:r>
    </w:p>
    <w:p>
      <w:r>
        <w:rPr>
          <w:b/>
        </w:rPr>
        <w:t>E. 17</w:t>
      </w:r>
    </w:p>
    <w:p>
      <w:r>
        <w:t>Dire s'il y a une diminution de rendement et la chiffrer.</w:t>
      </w:r>
    </w:p>
    <w:p>
      <w:r>
        <w:rPr>
          <w:b/>
        </w:rPr>
        <w:t>E. 18</w:t>
      </w:r>
    </w:p>
    <w:p>
      <w:r>
        <w:t>Évaluer la possibilité d'améliorer la capacité de travail par des mesures médicales. Indiquer quelles seraient les propositions thérapeutiques et leur influence sur la capacité de travail.</w:t>
      </w:r>
    </w:p>
    <w:p>
      <w:r>
        <w:rPr>
          <w:b/>
        </w:rPr>
        <w:t>E. 19</w:t>
      </w:r>
    </w:p>
    <w:p>
      <w:r>
        <w:t>Commenter et discuter les avis médicaux du SMR, des experts s’étant déjà prononcés et des médecins traitants et indiquer - cas échéant - pour quelles raisons ces avis sont confirmés ou écartés. En particulier : a) Etes-vous d’accord avec les constatations et conclusions du rapport d’expertise de la Dre F______ du 20 octobre 2016 et son complément du 24 avril 2017 ? b) Etes-vous d’accord avec les constatations et conclusions du rapport médical du Dr D______ du 22 février 2018 ?</w:t>
      </w:r>
    </w:p>
    <w:p>
      <w:r>
        <w:rPr>
          <w:b/>
        </w:rPr>
        <w:t>E. 20</w:t>
      </w:r>
    </w:p>
    <w:p>
      <w:r>
        <w:t>Formuler un pronostic global. Indiquer si des mesures de réadaptation professionnelle sont envisageables.</w:t>
      </w:r>
    </w:p>
    <w:p>
      <w:r>
        <w:rPr>
          <w:b/>
        </w:rPr>
        <w:t>E. 21</w:t>
      </w:r>
    </w:p>
    <w:p>
      <w:r>
        <w:t>Faire toute remarque utile. E. Invite l’expert à déposer à sa meilleure convenance un rapport en trois exemplaires à la chambre de céans. F. Réserve le fond.</w:t>
      </w:r>
    </w:p>
    <w:p>
      <w:r>
        <w:t>La greffière</w:t>
      </w:r>
    </w:p>
    <w:p>
      <w:r>
        <w:t>Julia BARRY</w:t>
      </w:r>
    </w:p>
    <w:p>
      <w:r>
        <w:t>La présidente</w:t>
      </w:r>
    </w:p>
    <w:p>
      <w:r>
        <w:t>Valérie MONTANI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