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ATAS/636/2014 vom 22. Mai 2014</w:t>
      </w:r>
    </w:p>
    <w:p>
      <w:r>
        <w:t>GE Cour de justice, 2014-05-22, FR</w:t>
      </w:r>
    </w:p>
    <w:p>
      <w:r>
        <w:rPr>
          <w:b/>
        </w:rPr>
        <w:t xml:space="preserve">Quelle: </w:t>
      </w:r>
      <w:r>
        <w:t>https://mcp.opencaselaw.ch/entscheid/ge_gerichte_ATAS_636_2014</w:t>
      </w:r>
    </w:p>
    <w:p>
      <w:r>
        <w:t>FR: GE_GERICHTE ATAS/636/2014 du 22 mai 2014</w:t>
      </w:r>
    </w:p>
    <w:p>
      <w:r>
        <w:t>IT: GE_GERICHTE ATAS/636/2014 del 22 maggio 2014</w:t>
      </w:r>
    </w:p>
    <w:p>
      <w:pPr>
        <w:pStyle w:val="Heading2"/>
      </w:pPr>
      <w:r>
        <w:t>Erwägungen</w:t>
      </w:r>
    </w:p>
    <w:p>
      <w:r>
        <w:rPr>
          <w:b/>
        </w:rPr>
        <w:t>E. 20</w:t>
      </w:r>
    </w:p>
    <w:p>
      <w:r>
        <w:t>Par pli du 10 octobre 2012, l’assureur a indiqué qu’il n’entendait pas attendre que l’OAI ait statué. Il a considéré par ailleurs que le rapport du Dr D______ n’était pas de nature à remettre en question la suspension des prestations au 30 avril 2012.</w:t>
      </w:r>
    </w:p>
    <w:p>
      <w:r>
        <w:rPr>
          <w:b/>
        </w:rPr>
        <w:t>E. 21</w:t>
      </w:r>
    </w:p>
    <w:p>
      <w:r>
        <w:t>Dans un rapport rédigé le 1er novembre 2012, la Dresse G____, médecin auprès du Service médical régional de l’AI (SMR) a relevé, s’agissant des suites de l’AVC du 23 octobre 2010, et plus particulièrement de l’évolution de l’état anxieux, que les experts du CEMed avaient préconisé, fin 2011, un traitement spécialisé et la prise de Cipralex. Le médecin du SMR indiquait avoir interpellé à ce sujet le Dr C______ (pièce 13 demandeur), lequel lui avait répondu que l’assuré avait refusé à la fois de consulter un psychiatre et de prendre un antidépresseur ; selon le Dr C______, l’évolution du trouble anxieux apparaissait tout de même favorable, de sorte que seules les limitations fonctionnelles découlant des séquelles de l’AVC étaient encore incapacitantes ; le Dr C______ avait mentionné à cet égard que ces limitations fonctionnelles étaient certes compatibles avec les tâches administratives de l’assuré, mais non avec le service en salle, lequel était indissociable de son activité, raison pour laquelle il n’avait pas prescrit de reprise.</w:t>
      </w:r>
    </w:p>
    <w:p>
      <w:r>
        <w:t>A/1156/2013 - 6/17 -</w:t>
      </w:r>
    </w:p>
    <w:p>
      <w:r>
        <w:rPr>
          <w:b/>
        </w:rPr>
        <w:t>E. 22</w:t>
      </w:r>
    </w:p>
    <w:p>
      <w:r>
        <w:t>Le 30 novembre 2012, le contrat de travail de l’assuré a pris fin.</w:t>
      </w:r>
    </w:p>
    <w:p>
      <w:r>
        <w:rPr>
          <w:b/>
        </w:rPr>
        <w:t>E. 23</w:t>
      </w:r>
    </w:p>
    <w:p>
      <w:r>
        <w:t>Dans un rapport du 3 décembre 2012, le Dr C______ a indiqué que le dernier contrôle d’imagerie neurovasculaire de janvier 2012 avait montré la persistance d’un hyposignal et d’une vitesse diastonique minime sur l’axe vertébral droit, compatibles avec un frein en aval. Concernant l’évolution, le médecin traitant a relaté que l’assuré se plaignait toujours d’une forte faiblesse musculaire du membre supérieur gauche, de céphalées récurrentes et d’une persistance du ramollissement bulbaire droit. Quant à la capacité de travail de son patient, le Dr C______ s’est déclaré dans l’impossibilité de se prononcer, d’une part au regard de l’activité mixte que l’intéressé exerçait antérieurement, d’autre part, parce que l’intéressé continuait à se plaindre de douleurs liées au ramollissement bulbaire et de faiblesses au niveau du membre supérieur gauche, « lâchant » sans préavis. Le médecin en a conclu que la capacité résiduelle de travail ne pourrait être déterminée qu’après un éventuel reclassement professionnel par l’OAI.</w:t>
      </w:r>
    </w:p>
    <w:p>
      <w:r>
        <w:rPr>
          <w:b/>
        </w:rPr>
        <w:t>E. 24</w:t>
      </w:r>
    </w:p>
    <w:p>
      <w:r>
        <w:t>Dans un rapport du 7 février 2013, la Dresse G____, a conclu, à la lumière des rapports médicaux, en particulier de l’expertise du CEMed du 21 décembre 2011, qu’il y avait totale incapacité de travail depuis octobre 2009 - initialement en raison des atteintes accidentelles au pouce, au gros orteil et au biceps droits, puis pour maladie à partir du 23 octobre 2010 -, que l’expertise du CEMed permettait d’admettre, sur le plan neurologique, une capacité de travail de 100% dans une activité adaptée aux limitations fonctionnelles (activité administrative), mais que le</w:t>
      </w:r>
    </w:p>
    <w:p>
      <w:r>
        <w:rPr>
          <w:b/>
        </w:rPr>
        <w:t>E. 29</w:t>
      </w:r>
    </w:p>
    <w:p>
      <w:r>
        <w:t>Entendu le même jour, le Dr C______ a précisé qu’il suit le demandeur depuis 2009 et que, depuis sa sortie des HUG en novembre 2010, il se plaint de céphalées chroniques, d’une faiblesse de l’hémicorps gauche, et d’un problème oculaire à droite, séquelles auxquelles s’ajoutent des crises d’angoisse et de panique. Le médecin a précisé qu’en mai 2012, la capacité de travail de son patient était de 40% environ dans une activité purement administrative, mais qu’en octobre 2012, la situation s’était légèrement améliorée au point de lui permettre de travailler à 50% dans un travail administratif.</w:t>
      </w:r>
    </w:p>
    <w:p>
      <w:r>
        <w:t>EN DROIT</w:t>
      </w:r>
    </w:p>
    <w:p>
      <w:r>
        <w:t>1. 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d’assurance-maladie collective indemnité journalière, police n°1______ / GE étant soumis à la LCA, la compétence ratione materiae de la Chambre de céans pour juger du cas d’espèce est ainsi établie. Par ailleurs, l'art. 90 des conditions générales de l'assurance régissant l’assurance collective indemnité journalière selon la LCA, édition 2005 (ci-après CGA) prévoit que le preneur d’assurance et l’assuré peuvent élire à leur choix le for ordinaire ou celui de leur domicile (en Suisse ou dans la principauté du Liechtenstein). Ces élections de for sont admissibles en vertu de l’art. 17 CPC, par renvoi de l’art. 46a LCA, même si cet article n’a pas été modifié en conséquence.</w:t>
      </w:r>
    </w:p>
    <w:p>
      <w:r>
        <w:t>A/1156/2013 - 9/17 - En l’espèce, eu égard à l’art. 90 CGA, les tribunaux genevois sont compétents ratione loci, dans la mesure où le demandeur a son domicile à Genève. b)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c) Pour le surplus, la demande en paiement du 10 avril 2013 respecte les conditions légales et de forme (art. 130 et 244 CPC). Elle est donc recevable. d) La procédure simplifiée s’applique (art. 243 al. 2 let. f CPC), et la Cour établit les faits d’office (art. 247 al. 2 let. a CPC). 2. Le litige porte sur le droit du demandeur à des indemnités journalières à 100% à partir du 1er mai 2013. 3. Aux termes de l’art. 61 LCA, lors du sinistre, l’ayant droit est obligé de faire tout ce qui est possible pour restreindre le dommage. S’il y a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 L’obligation de réduire le dommage découlant de l’art. 61 LCA peut impliquer, dans le domaine de l’assurance des indemnités journalières, l’obligation pour l’assuré de changer d’activité professionnelle, si cela peut raisonnablement être exigé de lui (ATF 133 V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arrêt du Tribunal fédéral 4A_304/2012 du 14 novembre 2012 consid. 2.3).</w:t>
      </w:r>
    </w:p>
    <w:p>
      <w:r>
        <w:t>A/1156/2013 - 10/17 - 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in Basler Kommentar, Bundesgesetz über den Versicherungsvertrag, 2001, n. 27-29 ad art. 61 LCA). Selon l’art. 21 al. 4 LPGA, applicable par analogie en matière d’assurance d’indemnités journalières (arrêt du Tribunal fédéral 4A_111/2010 du 12 juillet 2010 consid. 3.1),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4.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t>A/1156/2013 - 11/17 - b) En l’espèce, la police d’assurance perte de gain maladie, valable à partir du 1er juillet 2005 prévoit une indemnité journalière en cas de maladie couvrant 80% du salaire assuré, durant 720 jours dans une période de 900 jours consécutifs, sous imputation d'un délai d'attente de trois jours par cas. Il est précisé que les conditions générales d’assurance régissant l’assurance collective indemnité journalière selon la LCA, édition 2005 (ci-après : CGA), ainsi que les conditions particulières pour la restauration et l’hôtellerie pour le canton de Genève, édition 2005, sont applicables. L'art. 12 CGA dispose qu'en cas d’incapacité de travail complète médicalement attestée, [l’assureur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l’assureur] de verser des prestations s’éteint.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A/1156/2013 - 12/17 - importance d’autant plus grande dans ce contexte (ATF 122 V 158 consid. 1b et les références ; SPIRA, La preuve en droit des assurances sociales, in : Mélanges en l’honneur de Henri-Robert SCHÜPBACH, Bâle 2000, p. 268).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 d) Si l’administration ou le juge, se fondant sur une appréciation consciencieuse des preuves fournies par les investigations auxquelles ils doivent procéder d’office, sont</w:t>
      </w:r>
    </w:p>
    <w:p>
      <w:r>
        <w:t>A/1156/2013 - 13/17 -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6. En l’espèce, suite à l’événement du 23 octobre 2010 et une fois le délai d’attente de trois jours écoulé, la défenderesse a versé des indemnités journalières correspondant à 80% du gain assuré sur la base d’une incapacité de travail complète médicalement attestée. Elle a mis fin à ses prestations au 30 avril 2012 en se fondant sur le rapport du CEMed du 21 décembre 2011. a) Dans leur rapport, les Drs F_____ et E_____ ont évalué à 70%, respectivement 30%, les parts dévolues d’une part aux tâches administratives, d’autre part au service, sous réserve de vérification de ces pourcentages. Ils ont estimé que les troubles neurologiques résiduels de l’assuré ne représentaient pas une cause d’incapacité de travail dans la part administrative de l’activité du demandeur. En revanche, ils ont considéré que, pour tout ce qui se rapportait aux activités de service, la capacité de travail du demandeur était nulle. Sur le plan psychique, les médecins du CEMed ont fait état d’une capacité de travail de 50% avec un retour à une capacité pleine et entière dans un délai de deux mois, moyennant instauration d’un traitement antidépresseur. La Chambre de céans constate que ce rapport d’expertise repose sur le dossier médical du demandeur ainsi que sur une anamnèse comportant un volet personnel, familial, socioprofessionnel et médical, qu’il relate les plaintes du demandeur et qu’il comporte un examen neurologique et psychiatrique. En outre, les experts posent des diagnostics précis, leurs constatations sont claires et leurs conclusions suffisamment motivées. Le rapport des Drs F_____ et E_____ doit dès lors se voir reconnaître valeur probante. Le demandeur reproche à la défenderesse d’avoir repris telle quelle la répartition de son temps de travail entre activités administratives (70%) et service (30%), alors même que les experts ont souligné que cette répartition était sujette à vérification. Il soutient qu’en réalité, la part dévolue au service représente 85%, celle au l’administration service, 15%. Ce faisant, il ne conteste pas le rapport du CEMed en tant que tel – en particulier les taux d’incapacité retenus pour chaque type d’activité –, mais argue que la défenderesse en a fait une application erronée en se fondant sur des prémisses erronées. Partant, les griefs du recourant ne sont pas de nature à remettre en cause la valeur probante du rapport des Drs F_____ et E_____. Quant à la Dresse H____, s’il fait état de sa préférence pour une augmentation progressive du temps de travail, en partant d’un taux d’activité de 50% dans un</w:t>
      </w:r>
    </w:p>
    <w:p>
      <w:r>
        <w:t>A/1156/2013 - 14/17 - premier temps, il ne soutient à aucun moment que les experts auraient ignoré des éléments susceptibles de faire douter de leurs conclusions. D’un avis également différent de celui des experts, le Dr C______, lors de l’audience d’enquêtes du 26 septembre 2013, a évalué la capacité de travail du demandeur à 40% environ en mai 2012 et à 50% en octobre 2012 dans un travail administratif. Cette appréciation rejoint les déclarations du demandeur au sujet du stage effectué aux EPI jusqu’au 9 août 2013 (en particulier l’incapacité alléguée à assumer certaines tâches – même purement administratives – plus de trois ou quatre heures par jour). Cela étant, les plaintes relatées par le Dr C______ (céphalées chroniques, faiblesse de l’hémicorps gauche, problèmes oculaires à droite et crises d’angoisse et de panique) sont superposables à celles recueillies par les Drs F_____ et E_____ et il ne ressort ni des déclarations du Dr C______ ni des précédents rapports de ce praticien que les experts auraient ignoré des éléments objectifs au point de jeter le doute sur leurs conclusions, dont la Chambre de céans n’a donc pas de motif de s’écarter. Partant, il y a lieu de considérer que, dans une activité adaptée, le demandeur a disposé d’une capacité de travail raisonnablement exigible de 50% jusqu’à fin janvier 2012, puis de 100%. 7. Il reste à examiner si la défenderesse était en droit de mettre un terme à ses prestations au 30 avril 2012. Conformément à la jurisprudence précitée (cf. consid. 3 supra),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Puisque, on l’a vu, l’art. 61 LCA est relativement impératif, l’art. 57 CGA est susceptible d’entrer en conflit avec cette disposition légale en tant qu’il limite à trois mois le délai pour « rechercher […] un travail dans un autre domaine d’activité », s’annoncer à l’assurance-invalidité ainsi qu’à l’assurance-chômage. Par ailleurs, l’art. 57 CGA ne fixe pas le dies a quo du délai de trois mois. En l’espèce, la défenderesse a informé une première fois le demandeur par téléphone le 16 janvier 2012 qu’elle mettrait fin à ses prestations au 30 avril 2012. Par courrier du 25 janvier 2012 (cf. pièce 16 dem.), elle lui a indiqué qu’à la lecture du rapport d’expertise, elle estimait qu’on pouvait exiger de sa part une capacité de travail « de 100% dès ce jour, dans un poste adapté à votre état de santé, comportant des tâches uniquement administratives ». Comme rappelé plus haut, l’art. 21 al. 4 LPGA, applicable par analogie en matière d’assurance d’indemnités journalières (arrêt du Tribunal fédéral 4A_111/2010 précité), prévoit une « mise en demeure écrite ». L’entretien téléphonique du 16 janvier 2012 ne saurait être considéré formellement comme une invitation à changer d’activité, contrairement au courrier du 25 janvier 2012 dont on peut</w:t>
      </w:r>
    </w:p>
    <w:p>
      <w:r>
        <w:t>A/1156/2013 - 15/17 - présumer qu’il a été reçu avant fin janvier 2012. On peut certes objecter qu’à ce moment, le demandeur n’était pas encore en possession de l’expertise. Il sied toutefois de relever que le courrier que lui a alors adressé la défenderesse reproduisait correctement les conclusions de cette dernière ainsi que la teneur de l’art. 57 CGA. Partant, il y a lieu de considérer que le courrier du 25 janvier 2012 valait mise en demeure écrite. Enfin, en tant qu’il ressort du rapport du CEMed que le retour à une capacité de travail pleine et entière dans une activité adaptée remontait au 1er février 2012, la défenderesse a correctement fixé le point de départ du délai de changement d’activité au 1er février 2012. 8. Reste à déterminer si un délai de trois mois est adéquat dans le cas d’espèce. Compte tenu de l’âge relativement avancé du demandeur au moment considéré (51 ans), de son expérience professionnelle - limitée au domaine de la restauration depuis son arrivée en Suisse en 2002 - et eu égard aux limitations fonctionnelles retenues par les experts - qui s’avèrent assez importantes (absence d’activité physiquement exigeante, en salle ou nécessitant une perception sensitive et un équilibre parfait), un délai de trois mois apparaît manifestement trop bref pour trouver un employeur disposé à engager l’intéressé au regard de l’ensemble des facteurs énumérés, lesquels justifient que le délai soit prolongé de deux mois, soit jusqu’au 30 juin 2012. La demande est ainsi partiellement admise, en ce sens que la défenderesse devra verser au demandeur des indemnités journalières à 100% du 1er mai au 30 juin 2012. Le montant de l’indemnité journalière, de CHF 147.75 (cf. pièce 56 déf.) n’étant pas contesté par les parties, la défenderesse sera condamnée à verser au demandeur la somme de CHF 9'012.75 (CHF 147.75 x 61 jours). 9. a) Enfin, en ce qui concerne les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w:t>
      </w:r>
    </w:p>
    <w:p>
      <w:r>
        <w:t>A/1156/2013 - 16/17 -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Les CGC applicables en l’espèce ne prévoient pas de disposition particulière à cet égard. b) En l’occurrence, la défenderesse a mis fin, par courrier du 25 janvier 2012, aux indemnités journalières du demandeur avec effet au 30 avril 2012, rendant les prestations exigibles dès cette date. Par courrier du 10 juillet 2012, le demandeur a mis formellement en demeure la défenderesse de lui verser les indemnités journalières dues pour la période du 1er mai au 30 juin 2012. En partant du principe que ce courrier a été reçu le lendemain, l’intérêt moratoire de 5% est dû dès le 12 juillet 2012. 10. Le demandeur, représenté par un conseil, obtenant partiellement gain de cause, la défenderesse sera condamnée à verser au demandeur une indemnité de CHF 3'000.- à titre de dépens, TVA et débours inclus (art. 106 al. 1 CPC; art. 20 à 26 de la loi d'application du code civil suisse et d’autres lois fédérales en matière civile du 11 octobre 2012 [LaCC; RS E 1 05]; art. 84 et 85 du RTFMC). Pour le surplus, la procédure est gratuite (art. 114 let. e CPC).</w:t>
      </w:r>
    </w:p>
    <w:p>
      <w:r>
        <w:t>A/1156/2013 - 17/17 -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