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ATAS/635/2005 vom 18. Juni 2004</w:t>
      </w:r>
    </w:p>
    <w:p>
      <w:r>
        <w:t>GE Cour de justice, 2004-06-18, FR</w:t>
      </w:r>
    </w:p>
    <w:p>
      <w:r>
        <w:rPr>
          <w:b/>
        </w:rPr>
        <w:t xml:space="preserve">Quelle: </w:t>
      </w:r>
      <w:r>
        <w:t>https://mcp.opencaselaw.ch/entscheid/ge_gerichte_ATAS_635_2005</w:t>
      </w:r>
    </w:p>
    <w:p>
      <w:r>
        <w:t>FR: GE_GERICHTE ATAS/635/2005 du 18 juin 2004</w:t>
      </w:r>
    </w:p>
    <w:p>
      <w:r>
        <w:t>IT: GE_GERICHTE ATAS/635/2005 del 18 giugno 2004</w:t>
      </w:r>
    </w:p>
    <w:p>
      <w:pPr>
        <w:pStyle w:val="Heading2"/>
      </w:pPr>
      <w:r>
        <w:t>Erwägungen</w:t>
      </w:r>
    </w:p>
    <w:p>
      <w:r>
        <w:rPr>
          <w:b/>
        </w:rPr>
        <w:t>E. 1</w:t>
      </w:r>
    </w:p>
    <w:p>
      <w:r>
        <w:t>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w:t>
      </w:r>
    </w:p>
    <w:p>
      <w:r>
        <w:t>Suite à l’annulation de l’élection des seize juges assesseurs par le Tribunal fédéral (TF) le 27 janvier 2004 (ATF 130 I 106), le Grand Conseil genevois a adopté, le 13 février, une disposition transitoire urgente (art. 162 LOJ) permettant au TCAS de siéger sans assesseurs, à trois juges titulaires, dans l’attente de l’élection de nouveaux juges assesseurs.</w:t>
      </w:r>
    </w:p>
    <w:p>
      <w:r>
        <w:rPr>
          <w:b/>
        </w:rPr>
        <w:t>E. 2</w:t>
      </w:r>
    </w:p>
    <w:p>
      <w:r>
        <w:t>L'art. 25a de la loi fédérale sur le libre passage dans la prévoyance professionnelle, vieillesse, survivants et invalidité du 17 décembre 1993 (LFLP),</w:t>
      </w:r>
    </w:p>
    <w:p>
      <w:r>
        <w:t>A/517/2005</w:t>
      </w:r>
    </w:p>
    <w:p>
      <w:r>
        <w:rPr>
          <w:b/>
        </w:rPr>
        <w:t>E. 4</w:t>
      </w:r>
    </w:p>
    <w:p>
      <w:r>
        <w:t>En l’espèce, le juge de première instance a ordonné le partage par moitié des avoirs acquis pendant la durée du mariage, soit du 29 juin 1984 au 24 août 2004, date à laquelle le jugement de divorce est devenu exécutoire, ce qui n’est pas contesté par les parties.</w:t>
      </w:r>
    </w:p>
    <w:p>
      <w:r>
        <w:t>Selon les documents produits, la prestation acquise pendant le mariage par le demandeur est de Fr. 179'485.-, tandis que celle acquise par la demanderesse est de Fr. 15'076.70 (347.70 + 14'729.-). Dès lors, le Tribunal ordonnera à l’institution de prévoyance du demandeur de transférer le montant de Fr. 82'204.65 (89'742.50 – 7'538.35) auprès de la fondation de prévoyance de son ex-épouse.</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t>A/517/2005</w:t>
      </w:r>
    </w:p>
    <w:p>
      <w:r>
        <w:rPr>
          <w:b/>
        </w:rPr>
        <w:t>E. 6</w:t>
      </w:r>
    </w:p>
    <w:p>
      <w:r>
        <w:t>Aucun émolument ne sera perçu, la procédure étant gratuite (art. 73 al. 2 LPP et 89H al. 1 de la loi sur la procédure administrative du 12 septembre 1985).</w:t>
      </w:r>
    </w:p>
    <w:p>
      <w:r>
        <w:t>***</w:t>
      </w:r>
    </w:p>
    <w:p>
      <w:r>
        <w:t>A/517/2005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