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ATAS/633/2023 vom 23. August 2023</w:t>
      </w:r>
    </w:p>
    <w:p>
      <w:r>
        <w:t>GE Cour de justice, 2023-08-23, FR</w:t>
      </w:r>
    </w:p>
    <w:p>
      <w:r>
        <w:rPr>
          <w:b/>
        </w:rPr>
        <w:t xml:space="preserve">Quelle: </w:t>
      </w:r>
      <w:r>
        <w:t>https://mcp.opencaselaw.ch/entscheid/ge_gerichte_ATAS_633_2023</w:t>
      </w:r>
    </w:p>
    <w:p>
      <w:r>
        <w:t>FR: GE_GERICHTE ATAS/633/2023 du 23 août 2023</w:t>
      </w:r>
    </w:p>
    <w:p>
      <w:r>
        <w:t>IT: GE_GERICHTE ATAS/633/2023 del 23 agosto 2023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Qu'interjeté dans les forme et délai légaux, le recours est recevable (art. 56 à 61 LPGA et 38 al. 3 LPGA) ; Que le 3 juillet 2023, l'OAI a conclu au renvoi du dossier pour instruction complémentaire ; Qu'il convient d'en prendre acte ;</w:t>
      </w:r>
    </w:p>
    <w:p>
      <w:r>
        <w:t>A/862/2023 - 3/4 - Que le 26 juillet 2023, l'assurée a acquiescé au renvoi à l'OAI pour instruction complémentaire, se ménageant le droit de se déterminer sur le complément d'instruction ; Qu'il se justifie dès lors d'admettre partiellement le recours, d'annuler la décision litigieuse et de renvoyer la cause à l'intimé pour instruction complémentaire ; Que l'assurée, représentée par un mandataire, se verra allouer des dépens d'un montant de CHF 1'000.-, à charge de l'OAI ; Qu'un émolument de CHF 200.- sera mis à la charge de l'OAI.</w:t>
      </w:r>
    </w:p>
    <w:p>
      <w:r>
        <w:t>A/862/2023 - 4/4 -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