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ATAS/632/2025 vom 26. August 2025</w:t>
      </w:r>
    </w:p>
    <w:p>
      <w:r>
        <w:t>GE Cour de justice, 2025-08-26, FR</w:t>
      </w:r>
    </w:p>
    <w:p>
      <w:r>
        <w:rPr>
          <w:b/>
        </w:rPr>
        <w:t xml:space="preserve">Quelle: </w:t>
      </w:r>
      <w:r>
        <w:t>https://mcp.opencaselaw.ch/entscheid/ge_gerichte_ATAS_632_2025</w:t>
      </w:r>
    </w:p>
    <w:p>
      <w:r>
        <w:t>FR: GE_GERICHTE ATAS/632/2025 du 26 août 2025</w:t>
      </w:r>
    </w:p>
    <w:p>
      <w:r>
        <w:t>IT: GE_GERICHTE ATAS/632/2025 del 26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t>A/203/2025 - 6/14 -</w:t>
      </w:r>
    </w:p>
    <w:p>
      <w:r>
        <w:rPr>
          <w:b/>
        </w:rPr>
        <w:t>E. 1.3</w:t>
      </w:r>
    </w:p>
    <w:p>
      <w:r>
        <w:t>Le recourant vit en France mais son dernier employeur a son domicile à Genève, la Cour de céans est compétente à raison de la matière et du lieu pour juger du cas d’espèce.</w:t>
      </w:r>
    </w:p>
    <w:p>
      <w:r>
        <w:rPr>
          <w:b/>
        </w:rPr>
        <w:t>E. 1.4</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1.5</w:t>
      </w:r>
    </w:p>
    <w:p>
      <w:r>
        <w:t>Le délai de recours est de trente jours (art. 56 LPGA ; art. 62 al. 1 de la loi sur la procédure administrative du 12 septembre 1985 [LPA - E 5 10]).</w:t>
      </w:r>
    </w:p>
    <w:p>
      <w:r>
        <w:rPr>
          <w:b/>
        </w:rPr>
        <w:t>E. 1.5.1</w:t>
      </w:r>
    </w:p>
    <w:p>
      <w:r>
        <w:t>Interjeté dans la forme et le délai prévus par la loi compte tenu de la suspension des délais et du report au premier jour utile (art. 38 al. 3 et al. 4 let. c LPGA), le recours est recevable.</w:t>
      </w:r>
    </w:p>
    <w:p>
      <w:r>
        <w:rPr>
          <w:b/>
        </w:rPr>
        <w:t>E. 2</w:t>
      </w:r>
    </w:p>
    <w:p>
      <w:r>
        <w:t>Le litige porte sur le droit du recourant à une rente à compter du 1er octobre 2024.</w:t>
      </w:r>
    </w:p>
    <w:p>
      <w:r>
        <w:rPr>
          <w:b/>
        </w:rPr>
        <w:t>E. 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2.2</w:t>
      </w:r>
    </w:p>
    <w:p>
      <w:r>
        <w:t>et les références).</w:t>
      </w:r>
    </w:p>
    <w:p>
      <w:r>
        <w:rPr>
          <w:b/>
        </w:rPr>
        <w:t>E. 2.3</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t>A/203/2025 - 7/14 -</w:t>
      </w:r>
    </w:p>
    <w:p>
      <w:r>
        <w:rPr>
          <w:b/>
        </w:rPr>
        <w:t>E. 2.4</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 ci n'est pas objectivement surmontable (al. 2).</w:t>
      </w:r>
    </w:p>
    <w:p>
      <w:r>
        <w:rPr>
          <w:b/>
        </w:rPr>
        <w:t>E. 2.5</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w:t>
      </w:r>
    </w:p>
    <w:p>
      <w:r>
        <w:t>A/203/2025 - 8/14 -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5.1</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5.2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w:t>
      </w:r>
    </w:p>
    <w:p>
      <w:r>
        <w:rPr>
          <w:b/>
        </w:rPr>
        <w:t>E. 5.2.1</w:t>
      </w:r>
    </w:p>
    <w:p>
      <w:r>
        <w:t>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accidents,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w:t>
      </w:r>
    </w:p>
    <w:p>
      <w:r>
        <w:rPr>
          <w:b/>
        </w:rPr>
        <w:t>E. 5.3</w:t>
      </w:r>
    </w:p>
    <w:p>
      <w:r>
        <w:t>On évaluera le revenu que l'assuré pourrait encore réaliser dans une activité adaptée avant tout en fonction de la situation concrète dans laquelle il se trouve. Lorsqu'il a repris l'exercice d'une activité lucrative après la survenance de l'atteinte</w:t>
      </w:r>
    </w:p>
    <w:p>
      <w:r>
        <w:t>A/203/2025 - 9/14 -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5.3.1</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w:t>
      </w:r>
    </w:p>
    <w:p>
      <w:r>
        <w:rPr>
          <w:b/>
        </w:rPr>
        <w:t>E. 5.3.2</w:t>
      </w:r>
    </w:p>
    <w:p>
      <w:r>
        <w:t>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w:t>
      </w:r>
    </w:p>
    <w:p>
      <w:r>
        <w:t>A/203/2025 - 10/14 -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w:t>
      </w:r>
    </w:p>
    <w:p>
      <w:r>
        <w:rPr>
          <w:b/>
        </w:rPr>
        <w:t>E. 5.3.3</w:t>
      </w:r>
    </w:p>
    <w:p>
      <w:r>
        <w:t>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rPr>
          <w:b/>
        </w:rPr>
        <w:t>E. 5.3.4</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5.3.5</w:t>
      </w:r>
    </w:p>
    <w:p>
      <w:r>
        <w:t>La mesure dans laquelle les salaires ressortant des statistiques doivent être réduits, dépend de l'ensemble des circonstances personnelles et professionnelles</w:t>
      </w:r>
    </w:p>
    <w:p>
      <w:r>
        <w:t>A/203/2025 - 11/14 -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w:t>
      </w:r>
    </w:p>
    <w:p>
      <w:r>
        <w:rPr>
          <w:b/>
        </w:rPr>
        <w:t>E. 5.3.6</w:t>
      </w:r>
    </w:p>
    <w:p>
      <w:r>
        <w:t>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5.3.7</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w:t>
      </w:r>
    </w:p>
    <w:p>
      <w:r>
        <w:rPr>
          <w:b/>
        </w:rPr>
        <w:t>E. 5.3.8</w:t>
      </w:r>
    </w:p>
    <w:p>
      <w:r>
        <w:t>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w:t>
      </w:r>
    </w:p>
    <w:p>
      <w:r>
        <w:t>A/203/2025 - 12/14 -</w:t>
      </w:r>
    </w:p>
    <w:p>
      <w:r>
        <w:rPr>
          <w:b/>
        </w:rPr>
        <w:t>E. 5.3.9</w:t>
      </w:r>
    </w:p>
    <w:p>
      <w:r>
        <w:t>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w:t>
      </w:r>
    </w:p>
    <w:p>
      <w:r>
        <w:rPr>
          <w:b/>
        </w:rPr>
        <w:t>E. 5.3.10</w:t>
      </w:r>
    </w:p>
    <w:p>
      <w:r>
        <w:t>Le salaire fondé sur les ESS doit encore être adapté à l’horaire de travail usuel de la branche, et indexé à l’année déterminante en tenant compte des valeurs spécifiques au sexe (ATF 129 V 408).</w:t>
      </w:r>
    </w:p>
    <w:p>
      <w:r>
        <w:rPr>
          <w:b/>
        </w:rPr>
        <w:t>E. 5.3.11</w:t>
      </w:r>
    </w:p>
    <w:p>
      <w:r>
        <w:t>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6</w:t>
      </w:r>
    </w:p>
    <w:p>
      <w:r>
        <w:t>semaines. Sur 52 semaines par année, il en résulte donc environ 46 œuvrées. Dès lors comme le relève à juste titre l’intimée, le calcul du recourant est incorrect puisque basé sur 48 semaines en lieu et place de 46 semaines.</w:t>
      </w:r>
    </w:p>
    <w:p>
      <w:r>
        <w:t>A/203/2025 - 13/14 - Par conséquent, en rectifiant ce point, le revenu sans invalidité selon la méthodologie appliquée par le recourant serait de CHF 70'895.20 (CHF 38.53 x 40 heures x 46), ce qui est légèrement inférieur au montant retenu par l’intimée. À ce stade, il sied par ailleurs de préciser que le salaire horaire devrait en réalité être de CHF 38.22, le recourant ayant mal calculé l’indemnité relative au 13ème salaire. Le revenu sans invalidité de CHF 71'090.- fixé par l’intimée, favorable au recourant, sera donc confirmé.</w:t>
      </w:r>
    </w:p>
    <w:p>
      <w:r>
        <w:rPr>
          <w:b/>
        </w:rPr>
        <w:t>E. 6.1</w:t>
      </w:r>
    </w:p>
    <w:p>
      <w:r>
        <w:t>En ce qui concerne tout d’abord le revenu sans invalidité, l’intimée a retenu un montant de CHF 71'090.47 en se basant sur le calcul suivant : CHF 31.55 (soit le salaire horaire de CHF 31.- prévu dans le contrat de mission augmenté de CHF 0.55 dès mars 2024 selon la CCT) x 40 heures x 52 semaines + 8.33%. Pour sa part, le recourant considère que le revenu sans invalidité devrait se calculer selon le procédé appliqué par l’OAI, soit salaire horaire de CHF 38.53, incluant les indemnités vacances (9,24%), jours fériés (3,58%) et 13ème salaire (8,33%), x 40 heures x 48 semaines, après prise en compte de l’augmentation de CHF 0.55 de 2024. Il arrive à un montant de CHF 73'977.-. Selon la CCT, modifiée par accord du 17 octobre 2023, dès le 1er mars 2024, l’augmentation de salaire est effectivement de CHF 0.55 (art. 1). S’agissant du nombre de semaine de travail, objet litigieux, il ressort de la CCT reprise par le recourant que son droit aux vacances serait de 22 jours (art. 25 let. c CCT). Quant aux jours fériés, ils s’élèvent à 9 selon l’art. 26 CCT. L’horaire de travail s’étend par ailleurs du lundi au vendredi (art. 11 CCT), soit 5 jours par semaine. Il en résulte un total de 31 jours non travaillés, ce qui revient à environ</w:t>
      </w:r>
    </w:p>
    <w:p>
      <w:r>
        <w:rPr>
          <w:b/>
        </w:rPr>
        <w:t>E. 6.2</w:t>
      </w:r>
    </w:p>
    <w:p>
      <w:r>
        <w:t>En ce qui concerne le revenu avec invalidité, seul l’abattement est contesté, le recourant sollicitant un abattement de 10% afin de tenir compte de ses limitations fonctionnelles et de son absence de formation dans un autre domaine que l’électricité. Il sera relevé en tant que de besoin que le recours aux statistiques, le choix de la table et l’application de la valeur centrale du niveau 1 sont en l’espèce conformes à la jurisprudence en la matière rappelée précédemment. Conformément aux principes jurisprudentiels précités, les activités du niveau de compétence 1 ne requièrent ni formation, ni expérience professionnelle spécifique, elles sont par ailleurs disponibles indépendamment de l’âge. Par ailleurs, vu le large éventail d’activités variées et non qualifiées qui sont incluses dans le niveau de compétence 1, l’accessibilité du recourant à des activités adaptées et respectueuses de ses limitations qui portent sur son membre supérieur non dominant est garantie. Il ne se justifie dès lors pas de tenir compte d’un abattement supérieur, étant d’ailleurs souligné, même si cela n’a pas de valeur contraignante, que l’OAI n’a pris en compte aucun abattement. Par conséquent, le revenu avec invalidité de CHF 64'824.- doit également être confirmé, ce qui conduit à un degré d’invalidité de 8,8%, soit à 9% après arrondissement.</w:t>
      </w:r>
    </w:p>
    <w:p>
      <w:r>
        <w:rPr>
          <w:b/>
        </w:rPr>
        <w:t>E. 6.3</w:t>
      </w:r>
    </w:p>
    <w:p>
      <w:r>
        <w:t>Au vu de ce qui précède, le recours est rejeté. Le recourant, qui succombe, n'a pas droit à des dépens (art. 61 let. g LPGA a contrario). Pour le surplus, la procédure est gratuite (art. 61 let. fbis LPGA a contrario).</w:t>
      </w:r>
    </w:p>
    <w:p>
      <w:r>
        <w:t>A/203/2025 - 14/14 -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