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ATAS/632/2019 vom 4. Februar 2019</w:t>
      </w:r>
    </w:p>
    <w:p>
      <w:r>
        <w:t>GE Cour de justice, 2019-02-04, FR</w:t>
      </w:r>
    </w:p>
    <w:p>
      <w:r>
        <w:rPr>
          <w:b/>
        </w:rPr>
        <w:t xml:space="preserve">Quelle: </w:t>
      </w:r>
      <w:r>
        <w:t>https://mcp.opencaselaw.ch/entscheid/ge_gerichte_ATAS_632_2019</w:t>
      </w:r>
    </w:p>
    <w:p>
      <w:r>
        <w:t>FR: GE_GERICHTE ATAS/632/2019 du 4 février 2019</w:t>
      </w:r>
    </w:p>
    <w:p>
      <w:r>
        <w:t>IT: GE_GERICHTE ATAS/632/2019 del 4 febbraio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le délai légal et la forme prescrite, le recours est recevable (art. 56 et 60 LPGA ; art. 89B de la loi sur la procédure administrative, du 12 septembre 1985 - LPA ; RS E 5 10).</w:t>
      </w:r>
    </w:p>
    <w:p>
      <w:r>
        <w:rPr>
          <w:b/>
        </w:rPr>
        <w:t>E. 4</w:t>
      </w:r>
    </w:p>
    <w:p>
      <w:r>
        <w:t>Le litige porte sur le droit de l'assuré aux prestations LAA au-delà du 20 janvier 2019 suite à l’accident du 10 avril 2018.</w:t>
      </w:r>
    </w:p>
    <w:p>
      <w:r>
        <w:rPr>
          <w:b/>
        </w:rPr>
        <w:t>E. 5</w:t>
      </w:r>
    </w:p>
    <w:p>
      <w:r>
        <w:t>L'assuré sollicite préalablement la restitution de l’effet suspensif.</w:t>
      </w:r>
    </w:p>
    <w:p>
      <w:r>
        <w:rPr>
          <w:b/>
        </w:rPr>
        <w:t>E. 6</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 qu'aux termes de l'art. 97 LAVS,</w:t>
      </w:r>
    </w:p>
    <w:p>
      <w:r>
        <w:t>A/2180/2019 - 4/6 -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qu'au surplus, l'art. 55 al. 2 à 4 PA est applicable.</w:t>
      </w:r>
    </w:p>
    <w:p>
      <w:r>
        <w:rPr>
          <w:b/>
        </w:rPr>
        <w:t>E. 7</w:t>
      </w:r>
    </w:p>
    <w:p>
      <w:r>
        <w:t>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w:t>
      </w:r>
    </w:p>
    <w:p>
      <w:r>
        <w:rPr>
          <w:b/>
        </w:rPr>
        <w:t>E. 8</w:t>
      </w:r>
    </w:p>
    <w:p>
      <w:r>
        <w:t>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applicable par analogie à l'assurance- invalidité en vertu de l'art. 81 LAI (abrogé par la LPGA).</w:t>
      </w:r>
    </w:p>
    <w:p>
      <w:r>
        <w:rPr>
          <w:b/>
        </w:rPr>
        <w:t>E. 9</w:t>
      </w:r>
    </w:p>
    <w:p>
      <w:r>
        <w:t>En l’espèce, l’assureur a considéré que l’atteinte tendineuse à la hanche gauche n’était pas ou plus en lien de causalité adéquate avec l’accident du 10 avril 2018. L’assuré conteste la valeur probante de l’avis du Dr D______, au motif notamment que celui-ci a ignoré le rapport d’échographies du 28 août 2018.</w:t>
      </w:r>
    </w:p>
    <w:p>
      <w:r>
        <w:rPr>
          <w:b/>
        </w:rPr>
        <w:t>E. 10</w:t>
      </w:r>
    </w:p>
    <w:p>
      <w:r>
        <w:t>Force est de constater que les avis divergent sur la question du lien de causalité entre l’atteinte tendineuse de la hanche gauche et l’accident du 10 avril 2018 au- delà du 20 janvier 2019. Or, selon la jurisprudence du Tribunal fédéral, les prévisions sur l'issue du litige au fond ne doivent faire aucun doute. La chambre de céans constate dès lors qu'à ce stade de la procédure, les chances de succès de l'assuré sur le fond du litige, à la lumière de la jurisprudence fédérale,</w:t>
      </w:r>
    </w:p>
    <w:p>
      <w:r>
        <w:t>A/2180/2019 - 5/6 - n'apparaissent pas prima faciae telles qu'elles l'emportent sur l'intérêt de l’assureur à l'exécution immédiate de sa décision de cesser de verser à l’assuré les prestations LAA au-delà du 20 janvier 2019.</w:t>
      </w:r>
    </w:p>
    <w:p>
      <w:r>
        <w:rPr>
          <w:b/>
        </w:rPr>
        <w:t>E. 11</w:t>
      </w:r>
    </w:p>
    <w:p>
      <w:r>
        <w:t>Force dès lors est de rejeter la demande en restitution de l’effet suspensif.</w:t>
      </w:r>
    </w:p>
    <w:p>
      <w:r>
        <w:t>A/2180/2019 - 6/6 -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