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ATAS/632/2010 vom 31. Mai 2010</w:t>
      </w:r>
    </w:p>
    <w:p>
      <w:r>
        <w:t>GE Cour de justice, 2010-05-31, FR</w:t>
      </w:r>
    </w:p>
    <w:p>
      <w:r>
        <w:rPr>
          <w:b/>
        </w:rPr>
        <w:t xml:space="preserve">Quelle: </w:t>
      </w:r>
      <w:r>
        <w:t>https://mcp.opencaselaw.ch/entscheid/ge_gerichte_ATAS_632_2010</w:t>
      </w:r>
    </w:p>
    <w:p>
      <w:r>
        <w:t>FR: GE_GERICHTE ATAS/632/2010 du 31 mai 2010</w:t>
      </w:r>
    </w:p>
    <w:p>
      <w:r>
        <w:t>IT: GE_GERICHTE ATAS/632/2010 del 31 maggio 2010</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 RS 830.1) qui sont relatives à la loi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Interjeté dans le délai et les formes prescrit, le recours est recevable (art. 56 e 60 LPGA ; art. 89B de la loi sur la procédure administrative, du 12 septembre 1985 - LPA ; RS E 5 10).</w:t>
      </w:r>
    </w:p>
    <w:p>
      <w:r>
        <w:rPr>
          <w:b/>
        </w:rPr>
        <w:t>E. 4</w:t>
      </w:r>
    </w:p>
    <w:p>
      <w:r>
        <w:t>Il convient de statuer préalablement sur les conclusions de la recourante du 30 avril 2010 tendant au rétablissement de l’effet suspensif.</w:t>
      </w:r>
    </w:p>
    <w:p>
      <w:r>
        <w:rPr>
          <w:b/>
        </w:rPr>
        <w:t>E. 5</w:t>
      </w:r>
    </w:p>
    <w:p>
      <w:r>
        <w:t>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w:t>
      </w:r>
    </w:p>
    <w:p>
      <w:r>
        <w:t>A/3839/2009 - 7/9 - applicable par analogie à l'assurance-invalidité en vertu de l'art. 66 LAI (dispositions applicables en l'espèce, dans leur nouvelle teneur en vigueur depuis le 1er janvier 2003 [arrêt P.-S. du 24 février 2004 I 46/04]), l’administration peut, dans sa décision, prévoir qu'un recours éventuel n'aura pas d'effet suspensif, même si la décision porte sur une prestation pécuniaire; au surplus, l'art. 55 al. 2 à 4 PA est applicable. b)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6</w:t>
      </w:r>
    </w:p>
    <w:p>
      <w:r>
        <w:t>En l’espèce, le Tribunal de céans constate que la recourante n’a pas sollicité immédiatement la restitution de l’effet suspensif. Ce n’est qu’à réception des pièces manquantes du chargé de l’intimé qu’elle a présenté sa requête. La question de savoir si la requête a été présentée en temps utile peut cependant rester ouverte. En effet, à l’appui de ses arguments, la recourante avance que les conclusions de l’expert mandaté par l’OAI aurait été négativement influencées par les déclarations du Dr O_________, de sorte que son expertise serait entachée de partialité.</w:t>
      </w:r>
    </w:p>
    <w:p>
      <w:r>
        <w:t>A/3839/2009 - 8/9 - Il s’agit-là d’arguments à examiner dans le cadre de l’examen de la valeur probante de l’expertise en question. Or, cet examen suppose une analyse complète et minutieuse de l’expertise contestée qui ne saurait être effectuée à ce stade de la procédure. Pour le surplus, les prévisions quant à l’issue du fond du litige ne sont prima faciae pas telles que l’on puisse admettre que la recourante - au bénéfice de prestations versées par l’Hospice général - obtiendra sans aucun doute gain de cause. En l’occurrence, le Tribunal de céans considère que l’intérêt de l’administration à ne pas verser la rente durant la procédure de recours et à éviter, le cas échéant, de devoir engager une procédure en restitution, l’emporte sur celui de la recourante. Mal fondée, la requête visant à la restitution de l’effet suspensif est rejetée.</w:t>
      </w:r>
    </w:p>
    <w:p>
      <w:r>
        <w:t>A/3839/2009 - 9/9 -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