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ATAS/632/2009 vom 26. Mai 2009</w:t>
      </w:r>
    </w:p>
    <w:p>
      <w:r>
        <w:t>GE Cour de justice, 2009-05-26, FR</w:t>
      </w:r>
    </w:p>
    <w:p>
      <w:r>
        <w:rPr>
          <w:b/>
        </w:rPr>
        <w:t xml:space="preserve">Quelle: </w:t>
      </w:r>
      <w:r>
        <w:t>https://mcp.opencaselaw.ch/entscheid/ge_gerichte_ATAS_632_2009</w:t>
      </w:r>
    </w:p>
    <w:p>
      <w:r>
        <w:t>FR: GE_GERICHTE ATAS/632/2009 du 26 mai 2009</w:t>
      </w:r>
    </w:p>
    <w:p>
      <w:r>
        <w:t>IT: GE_GERICHTE ATAS/632/2009 del 26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les décisions litigieuses du 18 septembre 2008 sont postérieures à l’entrée en vigueur de la LPGA et des modifications de la LAI relatives à la 4ème et à la 5ème révisions, entrées en vigueur respectivement en date du 1er janvier 2004 et du 1er janvier 2008. Par conséquent, d’un point de vue matériel, le droit éventuel à une rente d’invalidité à partir d’octobre 2007 et à un reclassement dans une nouvelle profession doit être examiné au regard des nouvelles normes de la LPGA et des modifications de la LAI consécutives à la 4ème et à la 5ème révision de cette loi, dans la mesure de leur pertinence (ATF 130 V 445 et les références, voir également ATF 130 V 329).</w:t>
      </w:r>
    </w:p>
    <w:p>
      <w:r>
        <w:rPr>
          <w:b/>
        </w:rPr>
        <w:t>E. 3</w:t>
      </w:r>
    </w:p>
    <w:p>
      <w:r>
        <w:t>Le présent recours interjeté dans les forme et délai prévus par la loi est recevable (art. 56 à 61 LPGA).</w:t>
      </w:r>
    </w:p>
    <w:p>
      <w:r>
        <w:t>A/3742/2008 - 8/17 -</w:t>
      </w:r>
    </w:p>
    <w:p>
      <w:r>
        <w:rPr>
          <w:b/>
        </w:rPr>
        <w:t>E. 4</w:t>
      </w:r>
    </w:p>
    <w:p>
      <w:r>
        <w:t>La question litigieuse porte sur le point de savoir si l’OCAI a, à juste titre, nié le droit de l’assurée à une rente d’invalidité ainsi qu’à une mesure de reclassement dans une nouvelle profession.</w:t>
      </w:r>
    </w:p>
    <w:p>
      <w:r>
        <w:rPr>
          <w:b/>
        </w:rPr>
        <w:t>E. 5</w:t>
      </w:r>
    </w:p>
    <w:p>
      <w:r>
        <w:t>Est réputée invalidité l’incapacité de gain totale ou partielle présumée permanente ou de longue durée, résultant d’une infirmité congénitale, d’une maladie ou d’un accident (art. 8 al. 1 LPGA et 4 al. 1 LAI).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w:t>
      </w:r>
    </w:p>
    <w:p>
      <w:r>
        <w:t>A/3742/2008 - 9/17 -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w:t>
      </w:r>
    </w:p>
    <w:p>
      <w:r>
        <w:t>A/3742/2008 - 10/17 -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w:t>
      </w:r>
    </w:p>
    <w:p>
      <w:r>
        <w:rPr>
          <w:b/>
        </w:rPr>
        <w:t>E. 7</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w:t>
      </w:r>
    </w:p>
    <w:p>
      <w:r>
        <w:t>A/3742/2008 - 11/17 - l’expert (ATF 125 V 351 consid. 3b/ee ; ATFA non publié du 13 mars 2000, I 592/99).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l’assurée a été soumise, en date du 30 janvier 2008, à un examen rhumato-psychiatrique au SMR par les Drs R__________ et S_________, lesquels ont posé les diagnostics de rachialgies diffuses dans le cadre de troubles statiques et dégénératifs modérés du rachis avec séquelles de maladie de SCHEUERMANN (M54) et de syndrome rotulien bilatéral dans le cadre d’une gonarthrose bilatérale débutante, à prédominance droite (M22.2), diagnostics ayant des répercussions sur la capacité de travail, et de fibromyalgie (M79.0) et d’obésité, diagnostics n’ayant pas de répercussion sur la capacité de travail. Selon les examinateurs, les limitations fonctionnelles, liées uniquement aux atteintes du rachis et des genoux, concernaient l’alternance des positions assise et debout deux fois par heure, le soulèvement régulier de charges d’un poids excédant 5 kilogrammes, le port régulier de charges de plus de 12 kilogrammes, le travail en porte-à-faux statique prolongé du tronc, les génuflexions répétées et le franchissement régulier d’escabeaux, d’échelles et d’escaliers. La capacité de travail de l’assurée était de 50% dès le 1er novembre 2006 en tant que champignonniste et de 100%, dès cette date-là, dans toute autre activité lucrative adaptée aux limitations fonctionnelles présentées. Sur le plan psychiatrique, la capacité de travail exigible était entière. Le rapport d’examen se fonde tout d’abord sur une anamnèse tant familiale, personnelle, professionnelle, médicale, psychosociale et psychiatrique ainsi que sur les plaintes de l’assurée. Les résultats de l’examen clinique portant sur ses problèmes tant physiques que psychiques ont été exposés. Les diagnostics ont été</w:t>
      </w:r>
    </w:p>
    <w:p>
      <w:r>
        <w:t>A/3742/2008 - 12/17 - clairement énoncés et les conclusions, rendues au terme d’une appréciation du cas, sont motivées. Les experts ont notamment expliqué les raisons qui les ont conduit à conclure que la capacité de travail de l’assurée était entière dans une activité adaptée et explicité quelles étaient ses limitations fonctionnelles somatiques dans le cadre de cette activité. Les experts ont également précisé pourquoi ils retenaient le diagnostic de fibromyalgie sans toutefois que l’assurée ne présente de troubles psychiques manifestes. Les conclusions de l’examen n’apparaissent pas en contradiction avec les constatations cliniques rapportées dans le cadre de l’expertise. Enfin, ce rapport ne contient aucun jugement de valeur ou d’indices pouvant faire douter de l’objectivité des médecins du SMR. Le rapport d’examen, aboutissant à des résultats convaincants, a ainsi a priori pleine valeur probante.</w:t>
      </w:r>
    </w:p>
    <w:p>
      <w:r>
        <w:rPr>
          <w:b/>
        </w:rPr>
        <w:t>E. 9</w:t>
      </w:r>
    </w:p>
    <w:p>
      <w:r>
        <w:t>Il y a lieu de déterminer si les rapports des différents médecins ou celui des réadaptateurs pourraient remettre en cause sa valeur probante.</w:t>
      </w:r>
    </w:p>
    <w:p>
      <w:r>
        <w:rPr>
          <w:b/>
        </w:rPr>
        <w:t>E. 9.1</w:t>
      </w:r>
    </w:p>
    <w:p>
      <w:r>
        <w:t>La Dresse N___________ a posé en grande partie les mêmes diagnostics et limitations fonctionnelles que ceux retenus par les examinateurs de SMR. Toutefois, elle s’est contredite dans ses rapports concernant la capacité de travail de l’assurée et n’a pas expliqué pour quelles raisons elle ne pouvait exercer une activité lucrative adaptée qu’à 50%. Par ailleurs, le Dr P__________ pose, tout comme ses confrères, le diagnostic de fibromyalgie, sans toutefois mettre en exergue pourquoi ce diagnostic aurait des répercussions sur la capacité de travail. Au vu de ce qui précède et au regard de la jurisprudence qui prévoit que les médecins traitants auraient tendance à prendre parti pour leur patient en cas de doute, les conclusions des médecins traitants ne sauraient être suivies.</w:t>
      </w:r>
    </w:p>
    <w:p>
      <w:r>
        <w:rPr>
          <w:b/>
        </w:rPr>
        <w:t>E. 9.2</w:t>
      </w:r>
    </w:p>
    <w:p>
      <w:r>
        <w:t>D’autres rapports sont cependant également présents au dossier. Il s’agit d’abord du rapport du mois de juillet 2007 du Dr O___________ qui pose le seul diagnostic de fibromyalgie, diagnostic justifiant, d’après lui, une incapacité totale de travail définitive depuis le mois d’octobre 2006 tant dans sa précédente activité que dans toute autre activité lucrative. Il a précisé que les atteintes de l’assurée liées à la fibromyalgie, avec des amplitudes articulaires normales mais douloureuses, limitaient notablement en temps et en intensité les gestes nécessaires à l’exercice d’une activité lucrative ainsi que les activités habituelles. Toutefois, son rapport est bref et il n’apparaît pas qu’il mette en lumière de points qui n’aient pas été traités par les examinateurs de l’OCAI.</w:t>
      </w:r>
    </w:p>
    <w:p>
      <w:r>
        <w:rPr>
          <w:b/>
        </w:rPr>
        <w:t>E. 9.3</w:t>
      </w:r>
    </w:p>
    <w:p>
      <w:r>
        <w:t>Enfin, il ressort du rapport de stage, établi par un médecin et un réadaptateur de l’Atelier de réadaptation professionnelle des HUG, que l’assurée ne devait pas rester en position debout plus d’une heure, celle-ci provoquant une enflure des deux membres inférieurs au niveau des genoux. Ils ont également constaté une enflure au poignet et à l’avant-bras gauches ainsi que des douleurs au niveau de l’épaule gauche et des vertèbres cervicales, de sorte qu’ils ont conclu que les travaux demandant une élévation des bras au dessus du niveau des épaules n’étaient plus</w:t>
      </w:r>
    </w:p>
    <w:p>
      <w:r>
        <w:t>A/3742/2008 - 13/17 - exigibles. Ce rapport décrit principalement les limitations fonctionnelles de l’assurée et conclut que seul un placement de 50% peut encore être exigé, toutefois, aucun examen médical n’a été effectué durant le stage professionnel. Il y a lieu de constater que les examinateurs SMR ont également retenu des limitations fonctionnelles concernant les changements de positions fréquents ainsi que les positions qui étaient exclues afin que tant les genoux que le rachis de l’assurée soient épargnés. En ce qui concernait le membre supérieur gauche, ils ont noté, sur la base d’une radiographie et d’une échographie, la présence d’une sclérose du trochiter et d’un acromion crochu, d’un conflit antéro-supérieur et d’une tendinopathie du sus-épineux sans rupture de la coiffe, avec présence d’une bursite sous-acromio-deltoïdienne. Toutefois, lors de l’examen clinique, les épreuves de PSH (périarthrite scapulo-humérale) n’étaient pas particulièrement douloureuses aux épaules, mais diffusément aux membres supérieures, de sorte que le diagnostic de fibromyalgie avait été retenu. Par conséquent, les examinateurs du SMR n’ont certes par fait état des mêmes limitations fonctionnelles en ce qui concerne le membre supérieur gauche que le médecin et le réadaptateur des HUG, toutefois, ils ont clairement énoncé les raisons les amenant à constater l’existence d’une fibromyalgie sans incidence sur la capacité de travail et on comprend ce qui les a amené à conclure de la sorte. Les examens des médecin du SMR ont ainsi porté sur tous les points soulevés par le rapport professionnel, de sorte que leurs conclusions devront être suivies.</w:t>
      </w:r>
    </w:p>
    <w:p>
      <w:r>
        <w:rPr>
          <w:b/>
        </w:rPr>
        <w:t>E. 9.4</w:t>
      </w:r>
    </w:p>
    <w:p>
      <w:r>
        <w:t>Il apparaît ainsi qu’aucun rapport médical ou professionnel ne saurait remettre en cause la pleine valeur probante du rapport SMR qui convainc le Tribunal de céans.</w:t>
      </w:r>
    </w:p>
    <w:p>
      <w:r>
        <w:rPr>
          <w:b/>
        </w:rPr>
        <w:t>E. 9.5</w:t>
      </w:r>
    </w:p>
    <w:p>
      <w:r>
        <w:t>Au demeurant, l’assurée allègue, dans ses écritures du 13 janvier 2009, qu’il ressort de la décision de l’OCE du 29 août 2007 qu’elle présentait une maladie osseuse, qui n’avait pas été prise en considération par l’OCAI dans l’instruction du dossier. Il ressort effectivement de la décision de l’OCE que l’assurée aurait déclaré à cet Office qu’elle était atteinte d’une fragilité osseuse. Elle a également signalé « une inflammation des os » aux examinateurs du SMR. Le Tribunal de céans constate que les examinateurs du SMR se sont notamment fondés sur le dossier radiologique de l’assurée et qu’ils n’ont pas relevé de fragilité osseuse. Cette fragilité n’a du reste pas non plus été attestée ni pas les médecins traitants de l’assurée ni par les autres médecins ayant examiné l’assurée, de sorte que ces allégations ne sauraient remettre en cause les conclusions probantes de l’examen SMR.</w:t>
      </w:r>
    </w:p>
    <w:p>
      <w:r>
        <w:rPr>
          <w:b/>
        </w:rPr>
        <w:t>E. 10</w:t>
      </w:r>
    </w:p>
    <w:p>
      <w:r>
        <w:t>Reste à déterminer si la fibromyalgie présente un caractère invalidant.</w:t>
      </w:r>
    </w:p>
    <w:p>
      <w:r>
        <w:rPr>
          <w:b/>
        </w:rPr>
        <w:t>E. 10.1</w:t>
      </w:r>
    </w:p>
    <w:p>
      <w:r>
        <w:t>. Il y a d’abord lieu de déterminer si l’assurée présente une comorbidité psychiatrique importante de par sa gravité, son acuité et sa durée. A la lecture du</w:t>
      </w:r>
    </w:p>
    <w:p>
      <w:r>
        <w:t>A/3742/2008 - 14/17 - rapport SMR, l’examen psychiatrique était dans les limites de la norme. Le psychiatre a souligné qu’aucun état dépressif n’avait été objectivé et qu’il était possible que l’assurée ait développé une symptomatologie dépressive réactionnelle ou simplement une humeur dépressive sans toutefois qu’elle ait une influence sur sa capacité de travail et qu’elle était du reste actuellement en rémission. Au vu de ces constatations, l’assurée ne présente manifestement pas de comorbidité psychiatrique importante au sens de la jurisprudence.</w:t>
      </w:r>
    </w:p>
    <w:p>
      <w:r>
        <w:rPr>
          <w:b/>
        </w:rPr>
        <w:t>E. 10.2</w:t>
      </w:r>
    </w:p>
    <w:p>
      <w:r>
        <w:t>L’assurée ne réunit pas non plus plusieurs des autres critères consacrés par la jurisprudence lesquels sont susceptibles de fonder un pronostic défavorable quant à l’exigibilité, au plan psychique, d’une reprise de l’activité professionnelle. Même s’il devait être considéré que l’assurée présente des affections corporelles chroniques ou un processus maladif s’étendant sur plusieurs années sans rémission durable, il n’apparaît pas qu'elle subisse une perte d’intégration sociale en raison de sa maladie, ayant une vie sociale normale et voyant régulièrement ses amis. En outre, l’assurée ne présente pas d’état psychique cristallisé sans évolution possible sur le plan thérapeutique, attendu qu’elle n’a jamais bénéficié d’un soutien thérapeutique et les examinateurs n’ont pas établi d’échec de traitements ambulatoires ou stationnaires conformes aux règles de l’art. Ils ont enfin indiqué que l’assurée mettait en avant ses plaintes somatiques qu’elle amplifiait verbalement, sans aucun signe de souffrance et sans attirer leur empathie.</w:t>
      </w:r>
    </w:p>
    <w:p>
      <w:r>
        <w:rPr>
          <w:b/>
        </w:rPr>
        <w:t>E. 10.3</w:t>
      </w:r>
    </w:p>
    <w:p>
      <w:r>
        <w:t>Par conséquent, c’est à juste titre que l’OCAI a considéré que la fibromyalgie n’avait pas de caractère invalidant au sens de la jurisprudence et que l’assurée présentait une entière capacité de travail dans toute activité lucrative adaptée à ses limitations fonctionnelles, comme retenu par les examinateurs SMR.</w:t>
      </w:r>
    </w:p>
    <w:p>
      <w:r>
        <w:rPr>
          <w:b/>
        </w:rPr>
        <w:t>E. 11</w:t>
      </w:r>
    </w:p>
    <w:p>
      <w:r>
        <w:t>L’assurée soutient au demeurant que l’OCAI aurait dû prendre en considération les conclusions de l’OCE concernant son inaptitude au placement, attendu qu’elle n’était pas en mesure de travailler dans le marché primaire ou économique et que même une activité dans un cadre protégé était difficile à mettre en œuvre. Il sera rappelé que l’assurance-invalidité et l’assurance-chômage ne sont pas deux branches d’assurance complémentaires. Les organes de l’assurance-chômage déterminent l’aptitude au placement des personnes handicapées de manière essentiellement autonome, en collaboration avec les organes compétents de l’assurance-invalidité. À l’inverse, les décisions rendues par les organes de l’assurance-chômage au sujet de l’aptitude au placement des personnes handicapées n’ont pas d’influence sur l’évaluation de leur capacité de travail et de gain effectuée par les organes de l’assurance-invalidité (art. 28a al. 1er LAI, art. 15 LACI, art. 15 al. 1 et 3 OACI). Par conséquent, la décision de l’assurance-chômage n’a pas d’influence sur l’évaluation faite par l’OCAI de la capacité de travail et de gain de l’assurée, de</w:t>
      </w:r>
    </w:p>
    <w:p>
      <w:r>
        <w:t>A/3742/2008 - 15/17 - sorte que l’argumentation de l’assurée ne saurait être suivie, et ce d’autant moins que l’OCAI a établi sa décision sur la base de documents médicaux convaincants.</w:t>
      </w:r>
    </w:p>
    <w:p>
      <w:r>
        <w:rPr>
          <w:b/>
        </w:rPr>
        <w:t>E. 12</w:t>
      </w:r>
    </w:p>
    <w:p>
      <w:r>
        <w:t>Il a encore lieu de déterminer le degré d’invalidité de l’assurée.</w:t>
      </w:r>
    </w:p>
    <w:p>
      <w:r>
        <w:rPr>
          <w:b/>
        </w:rPr>
        <w:t>E. 13</w:t>
      </w:r>
    </w:p>
    <w:p>
      <w:r>
        <w:t>En vertu de l’article 28 al. 1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L’article 28 al. 2 LAI en vigueur dès le 1er janvier 2008 reprend la teneur exacte de cet article.</w:t>
      </w:r>
    </w:p>
    <w:p>
      <w:r>
        <w:rPr>
          <w:b/>
        </w:rPr>
        <w:t>E. 14</w:t>
      </w:r>
    </w:p>
    <w:p>
      <w:r>
        <w:t>En l’espèce, le calcul du revenu avec invalidité doit se fonder sur les statistiques (ESS 2006) et c’est à juste titre que l’OCAI a retenu les activités simples et répétitives, qui sont moins bien rémunérées et qui ne requièrent pas de formation particulière. Il y a lieu de réactualiser ce montant en fonction des heures travaillées dans les entreprises en 2007 et de l’ISS. L’OCAI a procédé à un abattement de 10% en raison des limitations fonctionnelles de l’assurée, ce qui doit être confirmé. Le revenu avec invalidité est ainsi de 45'923 fr. 90. Quant au revenu sans invalidité, il ne peut être que constaté qu’au vu des données de l’employeur, celui-ci est inférieur au revenu avec invalidité, de sorte que le degré d’invalidité est nul.</w:t>
      </w:r>
    </w:p>
    <w:p>
      <w:r>
        <w:rPr>
          <w:b/>
        </w:rPr>
        <w:t>E. 15</w:t>
      </w:r>
    </w:p>
    <w:p>
      <w:r>
        <w:t>Par conséquent, l’assurée n’a pas droit à une rente d’invalidité, de sorte que la décision de l’OCAI devra être confirmée sur ce point.</w:t>
      </w:r>
    </w:p>
    <w:p>
      <w:r>
        <w:rPr>
          <w:b/>
        </w:rPr>
        <w:t>E. 16</w:t>
      </w:r>
    </w:p>
    <w:p>
      <w:r>
        <w:t>Reste encore à savoir si l’assurée peut être mise au bénéfice d’une mesure de reclassement dans une nouvelle profession.</w:t>
      </w:r>
    </w:p>
    <w:p>
      <w:r>
        <w:rPr>
          <w:b/>
        </w:rPr>
        <w:t>E. 17</w:t>
      </w:r>
    </w:p>
    <w:p>
      <w:r>
        <w:t>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Selon l’art. 17 LAI, l’assuré a droit au reclassement dans une nouvelle profession si son invalidité rend cette mesure nécessaire et que sa capacité de gain peut ainsi, selon toute vraisemblance, être maintenue ou améliorée (al. 1er).</w:t>
      </w:r>
    </w:p>
    <w:p>
      <w:r>
        <w:t>A/3742/2008 - 16/17 -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w:t>
      </w:r>
    </w:p>
    <w:p>
      <w:r>
        <w:rPr>
          <w:b/>
        </w:rPr>
        <w:t>E. 18</w:t>
      </w:r>
    </w:p>
    <w:p>
      <w:r>
        <w:t>Il a précédemment été établi que le degré d’invalidité de l’assurée était nul, de sorte qu’au vu de la jurisprudence, il ne saurait lui être accordé une mesure de reclassement professionnel. La décision de l’OCAI sera ainsi également confirmée sur ce point.</w:t>
      </w:r>
    </w:p>
    <w:p>
      <w:r>
        <w:rPr>
          <w:b/>
        </w:rPr>
        <w:t>E. 19</w:t>
      </w:r>
    </w:p>
    <w:p>
      <w:r>
        <w:t>Enfin, il y a lieu d’examiner la question de l’aide au placement.</w:t>
      </w:r>
    </w:p>
    <w:p>
      <w:r>
        <w:rPr>
          <w:b/>
        </w:rPr>
        <w:t>E. 20</w:t>
      </w:r>
    </w:p>
    <w:p>
      <w:r>
        <w:t>La mesure d’aide au placement prévue par l’art. 18 al. 1 LAI fait partie des mesures de réadaptation professionnelle prévues à l’article 8 LAI.</w:t>
      </w:r>
    </w:p>
    <w:p>
      <w:r>
        <w:rPr>
          <w:b/>
        </w:rPr>
        <w:t>E. 21</w:t>
      </w:r>
    </w:p>
    <w:p>
      <w:r>
        <w:t>En l’espèce, l’OCAI a indiqué, dans sa décision de refus de reclassement, que sur demande écrite et motivée de la part de l’assurée, le droit éventuel à une aide au placement dans le but d’un soutien actif à la recherche d’un emploi approprié pourra être examiné. Il appartiendra dès lors à l’assurée de faire valoir son droit à une telle mesure directement auprès de l’OCAI si elle en éprouve le besoin.</w:t>
      </w:r>
    </w:p>
    <w:p>
      <w:r>
        <w:t>A/3742/2008 - 17/17 -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