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ATAS/631/2017 vom 12. Juli 2017</w:t>
      </w:r>
    </w:p>
    <w:p>
      <w:r>
        <w:t>GE Cour de justice, 2017-07-12, FR</w:t>
      </w:r>
    </w:p>
    <w:p>
      <w:r>
        <w:rPr>
          <w:b/>
        </w:rPr>
        <w:t xml:space="preserve">Quelle: </w:t>
      </w:r>
      <w:r>
        <w:t>https://mcp.opencaselaw.ch/entscheid/ge_gerichte_ATAS_631_2017</w:t>
      </w:r>
    </w:p>
    <w:p>
      <w:r>
        <w:t>FR: GE_GERICHTE ATAS/631/2017 du 12 juillet 2017</w:t>
      </w:r>
    </w:p>
    <w:p>
      <w:r>
        <w:t>IT: GE_GERICHTE ATAS/631/2017 del 12 luglio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Par ailleurs, selon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sis à Genève. Partant, la chambre de céans est compétente ratione materiae et loci pour juger du cas d’espèce.</w:t>
      </w:r>
    </w:p>
    <w:p>
      <w:r>
        <w:rPr>
          <w:b/>
        </w:rPr>
        <w:t>E. 2</w:t>
      </w:r>
    </w:p>
    <w:p>
      <w:r>
        <w:t>La LPGA, entrée en vigueur le 1er janvier 2003, est applicable (art. 1 al. 1 LAA).</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attaquée octroie à l’assuré une rente d’invalidité de 20% et une indemnité pour atteinte à l’intégrité de 15%. Le recourant, qui conclut au versement d’une rente d’invalidité de 56%, ne conteste plus au stade du recours</w:t>
      </w:r>
    </w:p>
    <w:p>
      <w:r>
        <w:t>A/3552/2016 - 7/14 - l’indemnité pour atteinte à l’intégrité qui lui a été accordée. Partant, le litige ne porte plus que sur l’évaluation de son degré d’invalidité.</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6.1</w:t>
      </w:r>
    </w:p>
    <w:p>
      <w:r>
        <w:t>; arrêt du Tribunal fédéral 9C_278/2010 du 26 mai 2010 consid. 2.3 ; Michel VALTERIO, Droit de l’assurance-vieillesse et survivants (AVS) et de l’assurance- invalidité (AI) – Commentaire thématique, 2011, n°2066). c.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La fixation de l'un et de l'autre sont soumis à des règles différentes. Le revenu sans invalidité s'évalue, en règle générale, d'après le dernier salaire que l'assuré a obtenu avant l'atteinte à la santé, en tenant compte de l'évolution des circonstances à l'époque où est né le droit à la rente (cf. ATF 129 V 222 consid. 4). Selon l'art. 25 al. 1 RAI en relation avec l'art. 28 al. 2 LAI, est seul déterminant pour la comparaison des revenus le salaire sur lequel des cotisations seraient perçues en vertu de la LAVS (voir également Meyer-Blaser, Bundesgesetz über die Invalidenversiche-rung [IVG], ad. art. 28 LAI, p. 200). Eu égard à l'uniformité de la notion de l'invalidité en matière d'assurance-invalidité et d'assurance-accidents (l'art. 18 al. 2 LAA a la même teneur que l'art. 28 al. 2 LAI), ce principe vaut également lorsqu'il s'agit de procéder à l'évaluation de l'invalidité d'un assuré couvert par la LAA. Il n'y a donc pas lieu, dans le revenu sans invalidité comme dans le revenu d'invalide, de prendre en considération les allocations familiales, lesquelles ne sont pas comprises dans la notion de revenu provenant d'une activité lucrative au sens de l'AVS (cf. art. 6 al. 2 let. f RAVS). Il en va différemment de la fixation du gain assuré qui doit inclure le montant des allocations familiales en application de l'art. 22 al. 2 let. b OLAA. d. S’agissant du revenu d'invalide, il doit aussi être évalué avant tout en fonction de la situation professionnelle concrète. En l'absence d'un revenu effectivement réalisé, la jurisprudence considère qu’il peut être évalué sur la base de statistiques salariales (ATF 126 V 75, consid. 3b), singulièrement à la lumière de celles figurant dans l'enquête suisse sur la structure des salaires (ESS), publiée par l'office fédéral de la statistique (ATF 124 V 321, consid. 3b/aa), ou des données salariales résultant des descriptions de postes de travail (DPT). Dans la première hypothèse,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w:t>
      </w:r>
    </w:p>
    <w:p>
      <w:r>
        <w:t>A/3552/2016 - 9/14 -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 e. Dans l’enquête suisse sur la structure des salaires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assurances sociales, lettre circulaire AI n° 328 du 22 octobre 2014).</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(cf. UELI KIESER, ATSG-Kommentar, 3ème édition 2015, n° 28 ad art. 16 LPGA et les références citées ; le même in : Schweizerisches Bundesverwaltungsrecht [SBVR], Sécurité sociale, 3ème édition 2016, n. 45 p. 292 ; arrêt du Tribunal fédéral 8C_449/2015 du 6 avril 2016 consid. 3). Ne font en revanche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w:t>
      </w:r>
    </w:p>
    <w:p>
      <w:r>
        <w:t>A/3552/2016 - 8/14 - (art. 6 al. 2 let. f et 9 al. 1 du règlement sur l'assurance-vieillesse et survivants - RAVS ; arrêt du Tribunal fédéral des assurances U 259/04 du 7 juillet 2005 consid.</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il n’est pas contesté que l’assuré, du fait de son atteinte au poignet, ne peut plus travailler comme chauffeur de bus mais qu’il dispose en revanche d’une pleine capacité de travail dans toute activité lui permettant d’éviter de conduire, de</w:t>
      </w:r>
    </w:p>
    <w:p>
      <w:r>
        <w:t>A/3552/2016 - 10/14 - monter des échelles et de porter des charges avec sa main droite (cf. rapport du Dr D______ du 10 décembre 2013). Il n’y a pas lieu d’y revenir. En revanche, il convient de vérifier le calcul du degré d'invalidité, que l’intimé a fixé à 20% dès le 1er avril 2016 sur la base d’une comparaison des gains.</w:t>
      </w:r>
    </w:p>
    <w:p>
      <w:r>
        <w:rPr>
          <w:b/>
        </w:rPr>
        <w:t>E. 10</w:t>
      </w:r>
    </w:p>
    <w:p>
      <w:r>
        <w:t>a. L’intimée a fixé le revenu sans invalidité à CHF 95’003.- en 2016 en se fondant sur les renseignements transmis par les B______. Le recourant, qui se prévaut d’un revenu sans invalidité de CHF 107'381.-, reproche à la SUVA d’avoir sous-évalué les primes versées par son ancien employeur, et d’avoir fait abstraction des allocations familiales qu’il a perçues. Conformément aux principes précédemment exposés (cf. supra consid. 7c), le revenu sans invalidité correspond au salaire déterminant au sens de l’AVS que l’assuré aurait pu obtenir en 2016 dans son ancienne activité s’il n’était pas devenu invalide. En l’espèce, les B______ ont certes indiqué dans leur courrier du 22 janvier 2016 que sans accident, l’assuré aurait perçu en 2016 un revenu annuel de CHF 88'533.60, une prime fidélité de CHF 4'762.05, une prime horaire de CHF 1'707.40 et des allocations familiales de CHF 7'200.-. Cela étant, contrairement à ce que prétend le recourant - qui se prévaut à tort des règles sur la fixation du gain assuré (art. 22 al. 2 let. b OLAA) - il n’y a pas lieu de tenir compte dans le revenu sans invalidité du montant des allocations familiales, lesquelles ne sont pas couvertes par la notion de revenu provenant d'une activité lucrative au sens de l'AVS (cf. supra consid. 7b-c et les références). S’agissant des primes de « repos supprimés », il résulte des renseignements fournis par les B______ que le recourant les a perçues pendant trois ans seulement sur les neuf écoulés entre son engagement et son licenciement par cet établissement. En effet, il a effectué trois jours de « repos supprimés » en 2005, un seul en 2009 et enfin huit en 2012. Compte tenu de leur fréquence et de leur ampleur aléatoires, il n’est pas établi au degré de la vraisemblance prépondérante que l’assuré aurait perçu des primes de « repos supprimés » en 2016. Corollairement, force est d’admettre que ces primes ne lui ont pas été versées régulièrement, de sorte qu’elles ne sauraient être additionnées au gain sans invalidité déterminant pour la comparaison des revenus. Quant au « planning provisionnel » invoqué par le recourant, il se rapporte aux années 2013 et 2014 et ne démontre pas en quoi le montant des primes horaires articulé par son ancien employeur pour l’année 2016 serait inexact. Pour le reste, les B______ n’ont mentionné - outre la prime de fidélité, dont le montant n’est pas contesté - aucune autre prime qui lui aurait été allouée en sus du salaire et assujettie à cotisations auprès de l’AVS. Au vu de ce qui précède, l’argumentation du recourant ne permet pas de s’écarter du revenu sans invalidité de CHF 95'003.- (un revenu de base de CHF 88'533.60, majoré des primes fidélités et horaires annuelles de CHF 4'762.05, respectivement CHF 1'707.40) fixé par l’intimé pour 2016 sur la base des renseignements transmis</w:t>
      </w:r>
    </w:p>
    <w:p>
      <w:r>
        <w:t>A/3552/2016 - 11/14 - par l’ancien employeur. On remarquera au demeurant que le revenu sans invalidité énoncé ne paraît pas défavorable au recourant, loin s’en faut, dès lors que ses gains déclarés à l’AVS ont oscillé entre CHF 68'981.- et CHF 90'290.- dans les cinq années précédant l’accident (cf. décision de l’assurance-invalidité du 15 juin 2016). b. S’agissant du revenu d'invalide, l’intimée l’a évalué en se référant à la branche particulière « activités juridiques, comptables, de gestion », niveau de compétence 2 de l'ESS 2014 (ligne 69-71 du tableau TA1_tirage_skill_level). Le recourant se prévaut pour sa part de la branche « activités de service administratif et de soutien, sans activité liée à l’emploi » (ligne 77,79-82), niveau 1. À titre liminaire, il sied de relever que selon la nomenclature générale des activités économiques, la branche particulière « activités juridiques, comptables, de gestion » recouvre les services comptables tels que la vérification des comptes, la préparation des états financiers et la tenue de livres (office fédéral de la statistique, Nomenclature générale des activités économiques [NOGA 2008], notes explicatives, p. 191). On rappellera également qu’en février 2015, le recourant a obtenu un diplôme d’aide-comptable. Selon le règlement de formation de l’IFAGE, dans sa teneur actuellement en vigueur, ce diplôme permet, sous la supervision d’un comptable, de tenir la comptabilité courante d’une entreprise, de l’ouverture des comptes jusqu’à la préparation des documents de clôture. À l’issue de sa formation, le diplômé doit également pouvoir effectuer des tâches administratives spécifiques à la comptabilité, suivre un compte courant bancaire, effectuer des réconciliations, traiter les flux de factures, et préparer les opérations de clôture. Dans la mesure où en 2016, le recourant était sans emploi mais avait obtenu un diplôme d’aide-comptable à l’issue d’un reclassement professionnel, c’est à juste titre que l’intimée a évalué son revenu d’invalide sur la base de la branche économique « activités juridiques, comptables, de gestion », laquelle correspond précisément au domaine dans lequel il a été reclassé. Que le recourant ne s’estime pas suffisamment expérimenté pour être engagé comme aide-comptable ne remet pas en question la pertinence de cette base statistique. Contrairement à ce qu’il soutient, le recourant ne peut se prévaloir de la branche « activités de service administratif et de soutien, sans activité liée à l’emploi » des statistiques salariales. Cette branche recouvre en effet des activités étrangères au domaine dans lequel il a été reclassé, notamment celles de location de biens immobiliers, celles des voyagistes ou encore celles des services de sécurité, respectivement de soutien aux entreprises. Elle englobe de surcroît le domaine du nettoyage des bâtiments, qui offre des salaires notoirement inférieurs à la moyenne des salaires suisses et ne correspond pas à ses limitations fonctionnelles (cf. arrêt du Tribunal fédéral 9C_692/2015 du 23 février 2016 consid. 3.1 ; office fédéral de la statistique, idem, pp. 202 ss). Enfin, son degré de formation commande bel et bien de retenir le niveau de compétence 2 des statistiques salariales - qui se rapporte aux tâches pratiques telles que le traitement de données et les tâches administratives - et non le niveau 1, qui concerne les tâches physiques et manuelles simples.</w:t>
      </w:r>
    </w:p>
    <w:p>
      <w:r>
        <w:t>A/3552/2016 - 12/14 - Compte tenu des circonstances et de la nécessité de le fixer le plus précisément possible, le revenu d’invalide doit être déterminé en l’espèce conformément au tableau TA1_tirage_skill_level, ligne 69-71, niveau de compétence 2 de l’ESS 2014. Le montant indiqué pour 2014 s’élève pour un homme à CHF 72'936.- par année. On précisera incidemment que c’est à quelques francs près le même montant qui ressort du tableau T1_tirage_skill_level, couvrant les secteurs public et privé. Comme les salaires bruts standardisés tiennent compte d’un horaire de travail de 40 heures par semaine, inférieur à la moyenne de 41.4 heures dans le domaine considéré (office fédéral de la statistique – statistique de la durée normale du travail dans les entreprises, DNT), ce montant doit être augmenté une première fois à CHF 75’489.- (72'936 x 41.4 : 40), puis une seconde à CHF 76'321.- afin de tenir compte de l’évolution des salaires nominaux jusqu’en 2016 (ISS en 2015 : + 0.4% et en 2016 : + 0.7%). C’est donc un revenu d’invalide de CHF 76'321.- qu’il convient de prendre en considération. c. Un abattement n'est pas automatique, mais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De tels indices font défaut en l’espèce : le recourant est capable d’exercer à plein temps l’activité d’aide-comptable, qui est parfaitement adaptée à ses limitations fonctionnelles. Son âge - 42 ans au jour de la décision attaquée - n’atteint pas le seuil à partir duquel le Tribunal fédéral parle d'un âge avancé (arrêt du Tribunal fédéral 9C_612/2007 du 14 juillet 2008 consid. 5.2). Par ailleurs, le recourant a travaillé non seulement comme chauffeur mais également comme contremaître, agent de propreté, manutentionnaire, conseiller en assurances et d’employé de bureau (cf. son curriculum vitae), de sorte qu’il bénéficie d’une riche expérience professionnelle, propre à favoriser ses perspectives salariales. Enfin, il est titulaire d’un permis frontalier qui l'autorise à travailler librement dans le canton de Genève, de sorte qu’un abattement lié à sa nationalité ne se justifie pas, d’autant moins que celle-ci ne l’a pas empêché jusqu’ici de percevoir des revenus supérieurs à la moyenne. d. En définitive, la comparaison des revenus déterminants conduit à un degré d’invalidité de 19.66% (95’003 – 76’321) / 95’003), qu’il convient d’arrondir à 20%. Le recourant n’ayant droit qu’à une rente d’invalidité de quotité équivalente, ses conclusions tendant au versement d’une rente supérieure sont rejetées.</w:t>
      </w:r>
    </w:p>
    <w:p>
      <w:r>
        <w:rPr>
          <w:b/>
        </w:rPr>
        <w:t>E. 11</w:t>
      </w:r>
    </w:p>
    <w:p>
      <w:r>
        <w:t>Enfin, le recourant requiert la mise en œuvre d’une audience de comparution personnelle.</w:t>
      </w:r>
    </w:p>
    <w:p>
      <w:r>
        <w:t>A/3552/2016 - 13/14 - Toutefois, la documentation versée au dossier permet déjà à la chambre de céans de statuer en connaissance de cause sur son degré d’invalidité, de sorte qu’elle renoncera à la mesure d’instruction sollicitée, par appréciation anticipée des preuves.</w:t>
      </w:r>
    </w:p>
    <w:p>
      <w:r>
        <w:rPr>
          <w:b/>
        </w:rPr>
        <w:t>E. 12</w:t>
      </w:r>
    </w:p>
    <w:p>
      <w:r>
        <w:t>Mal fondé, le recours est rejeté.</w:t>
      </w:r>
    </w:p>
    <w:p>
      <w:r>
        <w:rPr>
          <w:b/>
        </w:rPr>
        <w:t>E. 13</w:t>
      </w:r>
    </w:p>
    <w:p>
      <w:r>
        <w:t>Le recourant, qui succombe, n’a pas droit à une indemnité de dépens (art. 61 let. g LPGA).</w:t>
      </w:r>
    </w:p>
    <w:p>
      <w:r>
        <w:rPr>
          <w:b/>
        </w:rPr>
        <w:t>E. 14</w:t>
      </w:r>
    </w:p>
    <w:p>
      <w:r>
        <w:t>La procédure est gratuite (art. 89H al. 4 LPA).</w:t>
      </w:r>
    </w:p>
    <w:p>
      <w:r>
        <w:t>A/3552/2016 - 14/14 -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