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ATAS/631/2016 vom 16. August 2016</w:t>
      </w:r>
    </w:p>
    <w:p>
      <w:r>
        <w:t>GE Cour de justice, 2016-08-16, FR</w:t>
      </w:r>
    </w:p>
    <w:p>
      <w:r>
        <w:rPr>
          <w:b/>
        </w:rPr>
        <w:t xml:space="preserve">Quelle: </w:t>
      </w:r>
      <w:r>
        <w:t>https://mcp.opencaselaw.ch/entscheid/ge_gerichte_ATAS_631_2016</w:t>
      </w:r>
    </w:p>
    <w:p>
      <w:r>
        <w:t>FR: GE_GERICHTE ATAS/631/2016 du 16 août 2016</w:t>
      </w:r>
    </w:p>
    <w:p>
      <w:r>
        <w:t>IT: GE_GERICHTE ATAS/631/2016 del 16 agosto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ayant été précédée de l’envoi d’un projet de décision,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Complété dans le délai imparti, il satisfait aux exigences de forme et de contenu prévues par l’art. 61 let. b LPGA (cf. aussi art. 89B LPA). Le recourant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 Il doit examiner de manière objective tous les moyens de preuve, quelle qu'en soit la provenance, puis décider si les documents à disposition permettent de porter un jugement valable sur le droit litigieux (Ghislaine FRÉSARD-FELLAY, op. cit., n. 78).</w:t>
      </w:r>
    </w:p>
    <w:p>
      <w:r>
        <w:t>A/623/2016 - 9/17 -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 invalidité du 22 juin 2005, FF 2005 p. 4322).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w:t>
      </w:r>
    </w:p>
    <w:p>
      <w:r>
        <w:t>A/623/2016 - 10/17 -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w:t>
      </w:r>
    </w:p>
    <w:p>
      <w:r>
        <w:t>A/623/2016 - 11/17 -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 arrêt du Tribunal fédéral 9C_82/2016 du 9 juin 2016). La question du statut doit être tranchée sur la base de l'évolution de la situation jusqu'au prononcé de la décision administrative litigieuse. Cependant, pour admettre l'éventualité que l'assuré aurait repris une activité lucrative partielle ou complète jusqu'à ce moment- là, il faut des éléments dont la force probante atteigne le degré de vraisemblance prépondérante reconnu habituellement en droit des assurances sociales (ATF 130 V 393 consid. 3.3 et 125 V 146 consid. 2c ainsi que les références). En l’espèce, bien que cela ne soit pas contesté, il sied d’indiquer que c’est à bon droit que l’intimé a retenu finalement qu’en l’absence d’atteinte à la santé, le recourant aurait travaillé à plein temps, et donc que le statut d’actif doit lui être reconnu.</w:t>
      </w:r>
    </w:p>
    <w:p>
      <w:r>
        <w:rPr>
          <w:b/>
        </w:rPr>
        <w:t>E. 5</w:t>
      </w:r>
    </w:p>
    <w:p>
      <w:r>
        <w:t>a. Les atteintes à la santé doivent être établies par des documents médicaux probants. Sans remettre en cause la liberté d’appréciation revenant à l’administration et, sur recours, au juge (art. 61 let. c in fine LPGA ; art. 20 al. 1 phr. 2 LPA), le Tribunal fédéral a établi des règles sur la portée probatoire des divers types de rapports médicaux.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w:t>
      </w:r>
    </w:p>
    <w:p>
      <w:r>
        <w:t>A/623/2016 - 12/17 -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w:t>
      </w:r>
    </w:p>
    <w:p>
      <w:r>
        <w:t>A/623/2016 - 13/17 -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a. En l’espèce, il est admis par l’intimé que le recourant souffre d’une ostéogenèse imparfaite et d’une ostéoporose générant une totale incapacité de travail et de gain dans son activité habituelle de cuisinier, serveur et/ou aide- soignant. Il y a en revanche divergence d’appréciation quant à l’effet invalidant de ces atteintes à la santé sur la capacité de travail et de gain de l’assuré dans une activité adaptée. Pour l’intimé, le recourant a une pleine capacité de travail dans une activité strictement sédentaire comme le secrétariat. Le recourant le nie, en prétendant n’avoir aucune capacité de travail dans une quelconque activité ou alors, à titre subsidiaire, n’avoir qu’une capacité de travail réduite (dans une activité adaptée qu’il ne définit cependant pas). b. L’intimé fonde son appréciation pour l’essentiel sur les seuls avis des médecins du SMR, qui ont été exprimés par le biais de rapports de synthèse des (quelques) renseignements médicaux figurant au dossier et préconisant une appréciation de la situation médicale du recourant. On ne saurait considérer que ces avis ont valeur de rapports médicaux satisfaisant aux exigences posées pour qu’une pleine valeur probante puisse leur être reconnue. Ils ne contiennent pas une étude fouillée du cas du recourant, ne réfutent pas les opinions divergentes des médecins du recourant, ne sont guère motivés et n’aboutissent pas à des résultats véritablement convaincants. Ils ont par ailleurs été établis sur la seule base</w:t>
      </w:r>
    </w:p>
    <w:p>
      <w:r>
        <w:t>A/623/2016 - 14/17 - d’informations (incomplètes) versées au dossier, et nullement sur des observations cliniques auxquelles leur(s) auteur(s) aurai(en)t personnellement procédé. Il n’est en outre pas établi que les médecins du SMR s’étant prononcés disposaient des qualifications spécialisées dans la discipline médicale des atteintes à la santé du recourant. Quant à l’appréciation faite en 2011 par un médecin de la SUVA que le recourant avait retrouvé dès le 1er juin 2011 une pleine capacité de travail après le traitement de sa fracture accidentelle de la cheville droite, elle ne saurait démontrer d’une quelconque façon qu’il en irait de même à fin janvier 2016, lorsque l’intimé a rendu la décision attaquée, donc près de cinq ans plus tard, alors que l’atteinte à la santé du recourant est sujette à évolution et que, au surplus, l’intimé lui-même admet qu’il n’est plus apte du tout à exercer son activité habituelle. c. Force est de reconnaître que, de leur côté, les rapports médicaux produits par le recourant – à savoir les rapports établis par son médecin traitant, le Dr D______, et un spécialiste des maladies osseuses, le Dr G______ – ne contiennent pas non plus toutes les précisions utiles et pleinement concordantes sur sa capacité de travail dans une activité adaptée. Il n’empêche qu’ils comportent des indications tendant à nier une pleine capacité de travail, fût-ce dans d’autres activités que celles exercées habituellement (et dont personne ne remet en question qu’il ne pourrait plus les exercer). En effet, le Dr D______ a affirmé en juin 2014 qu’une activité adaptée au handicap du recourant n’était pas possible (« pour l’instant », a-t-il pris soin d’ajouter). Et il a énoncé des limitations restreignant sensiblement l’exercice d’en réalité quasiment toute activité professionnelle à tout le moins à plein temps, puisqu’il a affirmé – de façon non valablement contestée par l’intimé ni par d’autres éléments du dossier – non seulement que le recourant ne pouvait exercer de travaux impliquant uniquement une position assise, une position debout ou principalement en marchant, des mouvements avec les bras au-dessus de la tête, accroupi, à genoux, des rotations en position assise et debout, l’utilisation d’une échelle ou d’un échafaudage, mais encore – faut-il ici souligner – qu’il pouvait exercer des activités dans différentes positions durant une à deux heures par jour. De son côté, le Dr G______ n’a certes pas fait de distinction claire entre les activités habituelles du recourant et une activité adaptée aux limitations fonctionnelles de ce dernier, apparemment comme s’il entrevoyait mal qu’une telle activité adaptée existât. Il a cependant affirmé clairement, en janvier 2015, que le recourant pourrait accomplir des tâches impliquant la marche et le port de charges légères, avec toutefois l’importante précision qu’il ne le pourrait que « sur de courtes périodes » et que « cette capacité de travail ne devrait pas excéder 50 % de son occupation ». Il l’a répété dans son rapport du 8 avril 2016, cette fois-ci en termes de baisse de rendement, aux effets cependant équivalant à une sensible limitation de capacité de travail.</w:t>
      </w:r>
    </w:p>
    <w:p>
      <w:r>
        <w:t>A/623/2016 - 15/17 - d. Ces indications suffisent à convaincre que l’affirmation d’une pleine capacité de travail « dans une activité strictement adaptée » ne peut être retenue, du moins tant que des renseignements médicaux complémentaires, voire une expertise, ne fourniraient pas des éléments médicaux probants à l’appui de cette affirmation. Le SMR et, à sa suite, l’intimé, ne pouvaient simplement retenir une autre appréciation médicale de la situation du recourant que celles émises, convergentes, par le médecin traitant du recourant ainsi qu’un spécialiste des maladies osseuses des HUG, qui, en tant qu’il a été consulté ès qualités de médecin des HUG, n’a pas qualité de médecin traitant du recourant, quand bien même il a prescrit et administré un traitement à ce dernier. Il appert que le dossier a été insuffisamment instruit. Il incombait à l’intimé pour le moins d’exiger desdits médecins, s’il entendait se distancer de leur avis, des prises de position plus explicites d’un point de vue médical, sur les raisons pour lesquelles le recourant ne pourrait pas exercer à plein temps une activité adaptée qu’il imaginait possible (en particulier dans le domaine du secrétariat), en les invitant à préciser les limitations fonctionnelles qui affecteraient le recourant pour l’accomplissement d’une telle activité. Ou alors, de façon probablement préférable, il leur fallait soumettre le recourant à une expertise administrative. e. L’enjeu n’est pas seulement l’octroi ou le refus d’une rente d’invalidité, entière ou partielle, mais aussi l’octroi ou le refus de mesures de réadaptation professionnelle, qu’en l’occurrence l’intimé a également refusées au recourant pour le motif que, attribuant à ce dernier une pleine capacité de travail dans l’activité à son avis adaptée dans le domaine du secrétariat, il arrive à la conclusion, sur la base d’une comparaison des revenus résultant de statistiques, que son taux d’invalidité est de 10 % seulement, donc inférieur à celui de 20 % qui est requis pour que de telles mesures entrent en considération. Or, on voit mal que l’activité de secrétariat puisse représenter une activité adaptée pour le recourant sans qu’à tout le moins il n’ait pu bénéficier de mesures de réadaptation professionnelle ciblée sur l’exercice d’une telle activité, dès lors que sa formation commerciale a consisté en de simples cours de commerce et de secrétariat remontant à 1981-1982 (donc à près de trente- cinq ans !), qu’ils n’ont pas abouti à l’obtention d’un certificat de capacité et que le recourant apparaît n’avoir jamais véritablement pratiqué pleinement un métier dans le domaine du secrétariat, sinon il y a plus de vingt ans (cf. pièces de l’OAI n° 17 p. 2, n° 20 p. 1 et n° 43 p. 1). Il faut impérativement éviter, par un manque de réalisme dans l’admission de l’existence d’activités adaptées, de tomber dans un raisonnement tautologique aboutissant à admettre quasiment par définition une pleine capacité de travail dans une activité adaptée.</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w:t>
      </w:r>
    </w:p>
    <w:p>
      <w:r>
        <w:t>A/623/2016 - 16/17 -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 cf. aussi ATF 137 V 210 consid. 4.4.1). b. En l’espèce, il n’y a pas lieu que l’instruction du dossier soit complétée par la chambre de céans. Il incombe à l’intimé de le faire.</w:t>
      </w:r>
    </w:p>
    <w:p>
      <w:r>
        <w:rPr>
          <w:b/>
        </w:rPr>
        <w:t>E. 8</w:t>
      </w:r>
    </w:p>
    <w:p>
      <w:r>
        <w:t>a. Le présent recours doit être admis partiellement, la décision attaquée être annulée et la cause être renvoyée à l’intimé pour instruction complémentaire puis nouvelle décision. La nouvelle décision que l’intimé devra rendre devra reposer sur des faits actualisés.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au montant minimal de CHF 200.- (art. 69 al. 1bis phr. 2 in fine LAI). c. Le recourant obtenant partiellement gain de cause, une indemnité de CHF 500.- lui sera accordée (art. 61 let. g LPGA ; art. 6 du règlement sur les frais, émoluments et indemnités en matière administrative du 30 juillet 1986 [RFPA - E 5 10.03]), à la charge de l’intimé. Le bénéfice de l’assistance juridique n’implique pas qu’une telle indemnité ne doive pas être allouée ; elle est prise en compte par le service de l’assistance juridique, qui en a automatiquement connaissance au moment où il traite l’état de frais que lui adresse le moment venu l’avocat nommé d’office. * * * * * *</w:t>
      </w:r>
    </w:p>
    <w:p>
      <w:r>
        <w:t>A/623/2016 - 17/17 -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