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ATAS/631/2011 vom 21. Juni 2011</w:t>
      </w:r>
    </w:p>
    <w:p>
      <w:r>
        <w:t>GE Cour de justice, 2011-06-21, FR</w:t>
      </w:r>
    </w:p>
    <w:p>
      <w:r>
        <w:rPr>
          <w:b/>
        </w:rPr>
        <w:t xml:space="preserve">Quelle: </w:t>
      </w:r>
      <w:r>
        <w:t>https://mcp.opencaselaw.ch/entscheid/ge_gerichte_ATAS_631_2011</w:t>
      </w:r>
    </w:p>
    <w:p>
      <w:r>
        <w:t>FR: GE_GERICHTE ATAS/631/2011 du 21 juin 2011</w:t>
      </w:r>
    </w:p>
    <w:p>
      <w:r>
        <w:t>IT: GE_GERICHTE ATAS/631/2011 del 21 giugno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des mesures médicales sollicitée en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et des modifications de la LAI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l'assurée un projet de décision en date du 25 janvier 2011, qui a été confirmé par la décision du 9 mars 2011 contre laquelle l'assuré a interjeté directement recours devant la Chambre des assurances sociales de la Cour de justice le 11 avril 2011.</w:t>
      </w:r>
    </w:p>
    <w:p>
      <w:r>
        <w:t>A/1067/2011 - 4/7 - c) Interjeté dans les forme et délai prévus par la loi, devant l'autorité compétente, le recours est en conséquence recevable (art. 56 ss LPGA).</w:t>
      </w:r>
    </w:p>
    <w:p>
      <w:r>
        <w:rPr>
          <w:b/>
        </w:rPr>
        <w:t>E. 3</w:t>
      </w:r>
    </w:p>
    <w:p>
      <w:r>
        <w:t>a) Aux termes de l’art. 8 al. 2 LPGA, les assurés mineurs sans activité lucrative sont réputés invalides s’ils présentent une atteinte à leur santé physique, mentale ou psychique qui provoquera probablement une incapacité de gain totale ou partielle. Selon l’art. 4 al. 1er LAI, l’invalidité peut résulter d’une infirmité congénitale, d’une maladie ou d’un accident. b) 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1er al. 1er de l’ordonnance du 9 décembre 1985 concernant les infirmités congénitales (OIC), arrêtée conformément à l’art. 3 du règlement du 17 janvier 1961 sur l’assurance-invalidité (RAI), précise que la simple prédisposition à une maladie n’est pas réputée infirmité congénitale, et que le moment où une infirmité congénitale est reconnue comme telle n’est pas déterminant. L’art. 1er al. 2, 2e phrase OIC prévoit en outre, dans sa teneur en vigueur depuis le 1er décembre 2004, que le Département fédéral de l’intérieur peut adapter chaque année la liste des infirmités congénitales donnant droit à des mesures médicales. c) La liste des infirmités congénitales de l'OIC comporte plusieurs subdivisions, dont le chapitre II concernant la squelette et le chapitre IV concernant la face, qui regroupe notamment les infirmités congénitales liées à la dentition (dysplasie dentaire, anodontie congénitale, hyperdontie congénitale, micromandibulie, etc.).</w:t>
      </w:r>
    </w:p>
    <w:p>
      <w:r>
        <w:rPr>
          <w:b/>
        </w:rPr>
        <w:t>E. 4</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w:t>
      </w:r>
    </w:p>
    <w:p>
      <w:r>
        <w:t>A/1067/2011 - 5/7 -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5</w:t>
      </w:r>
    </w:p>
    <w:p>
      <w:r>
        <w:t>Dans le cas d'espèce, le Dr M__________, professeur de médecine dentaire, spécialiste en orthopédie dento-faciale qui a ausculté l'assuré, a confirmé que le patient ne présente aucune infirmité congénitale. Son dentiste traitant ne le conteste pas. Ainsi, la condition indispensable à l'octroi de mesures médicales fondées sur l'art. 13 LAI fait défaut. La décision querellée est certes succincte, mais elle est parfaitement motivée, dès lors qu'elle cite les dispositions applicables, puis motive le refus de prestations par l'absence d'infirmité congénitale. Le père de l'assuré n'a pas fait usage du délai accordé par la Cour pour compléter sa motivation, cas échéant produire des pièces complémentaires permettant d'étayer sa position. Il ne se justifie donc pas d'ordonner d'autres mesures d'instruction d'ordre médical, la demande de prestations n'étant fondée sur aucun rapport médical retenant une infirmité congénitale. A noter que tous les traitements d'orthodontie ne relèvent pas de l'assurance-invalidité, ce que le dentiste traitant de l'assuré a vraisemblablement clairement indiqué aux parents de celui-ci.</w:t>
      </w:r>
    </w:p>
    <w:p>
      <w:r>
        <w:rPr>
          <w:b/>
        </w:rPr>
        <w:t>E. 6</w:t>
      </w:r>
    </w:p>
    <w:p>
      <w:r>
        <w:t>La décision de refus est ainsi bien fondée et le recours est rejeté.</w:t>
      </w:r>
    </w:p>
    <w:p>
      <w:r>
        <w:rPr>
          <w:b/>
        </w:rPr>
        <w:t>E. 7</w:t>
      </w:r>
    </w:p>
    <w:p>
      <w:r>
        <w:t>Seul le recourant qui obtient gain de cause et qui est représenté par un avocat ou un mandataire professionnellement qualifié a droit à une indemnité à titre de participation à ses frais et dépens (art. 61 let. g LPGA en corrélation avec l’art. 89H al. 3 de la loi du 12 septembre 1985 sur la procédure administrative). Débouté, le recourant n'a pas droit à des dépens. La procédure de recours en matière de contestations portant sur l’octroi ou le refus de prestations de l’assurance-invalidité devant la Cour de céans est soumise à des frais de justice, qui doivent se situer entre 200 fr. et 1'000 fr. (art. 69 al. 1bis LAI),</w:t>
      </w:r>
    </w:p>
    <w:p>
      <w:r>
        <w:t>A/1067/2011 - 6/7 - fixés initialement à 200 fr. à la charge du recourant. Toutefois, la Cour renoncera exceptionnellement à la perception d'un émolument compte tenu de la volonté de l'assuré de retirer son recours, manifestée tardivement, l'arrêt étant déjà mis en délibération.</w:t>
      </w:r>
    </w:p>
    <w:p>
      <w:r>
        <w:t>A/1067/2011 - 7/7 -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