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ATAS/631/2008 vom 19. Dezember 2006</w:t>
      </w:r>
    </w:p>
    <w:p>
      <w:r>
        <w:t>GE Cour de justice, 2006-12-19, FR</w:t>
      </w:r>
    </w:p>
    <w:p>
      <w:r>
        <w:rPr>
          <w:b/>
        </w:rPr>
        <w:t xml:space="preserve">Quelle: </w:t>
      </w:r>
      <w:r>
        <w:t>https://mcp.opencaselaw.ch/entscheid/ge_gerichte_ATAS_631_2008</w:t>
      </w:r>
    </w:p>
    <w:p>
      <w:r>
        <w:t>FR: GE_GERICHTE ATAS/631/2008 du 19 décembre 2006</w:t>
      </w:r>
    </w:p>
    <w:p>
      <w:r>
        <w:t>IT: GE_GERICHTE ATAS/631/2008 del 19 dicembre 2006</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L’intéressé qui s’estime lésé par une décision sur réclamation (opposition) de l’OCPA peut interjeter recours par devant le Tribunal cantonal des assurances sociales, par écrit et dans les trente jours qui suivent la notification de la décision sur opposition (art. 56, 59 et 60 LPGA, art. 1 LPC, art. 9 de la loi cantonale sur les prestations fédérales complémentaires à l’assurance-vieillesse et survivants et à l’assurance-invalidité, du 14 octobre 1965 [LPFC] et art. 43 LPCC). Interjeté dans les délai et forme prescrits, le recours est dès lors recevable.</w:t>
      </w:r>
    </w:p>
    <w:p>
      <w:r>
        <w:rPr>
          <w:b/>
        </w:rPr>
        <w:t>E. 3</w:t>
      </w:r>
    </w:p>
    <w:p>
      <w:r>
        <w:t>Le litige porte sur la question de la recevabilité de la demande de remise déposée par la recourante le 6 novembre 2007.</w:t>
      </w:r>
    </w:p>
    <w:p>
      <w:r>
        <w:rPr>
          <w:b/>
        </w:rPr>
        <w:t>E. 4</w:t>
      </w:r>
    </w:p>
    <w:p>
      <w:r>
        <w:t>a) Au niveau fédéral, l'art. 25 al. 1 LPGA précise que les prestations indûment touchées doivent être restituées. La restitution ne peut être exigée lorsque l’intéressé était de bonne foi et qu’elle le mettrait dans une situation difficile. L'art. 3 de l'ordonnance du 11 septembre 2002 sur la partie générale du droit des assurances sociales (OPGA) précise que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w:t>
      </w:r>
    </w:p>
    <w:p>
      <w:r>
        <w:t>A/1185/2008 - 4/6 - Selon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b) Au niveau cantonal, l'art. 24 LPC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l'office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l'office indique la possibilité d'une demande de remise (al. 3). Lorsqu'il est manifeste que les conditions d'une remise sont réunies, l'office décide, dans sa décision, de renoncer à la restitution (al. 4). L'art. 15 RLPCC prévoit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en restitution (al. 2). La remise fait l'objet d'une décision (al. 3).</w:t>
      </w:r>
    </w:p>
    <w:p>
      <w:r>
        <w:rPr>
          <w:b/>
        </w:rPr>
        <w:t>E. 5</w:t>
      </w:r>
    </w:p>
    <w:p>
      <w:r>
        <w:t>En l'espèce, la décision de restitution de la somme de 3'510 fr. a été notifiée à la recourante en décembre 2006. Non contestée, elle est entrée en force à l'expiration du délai d'opposition, lequel était mentionné au bas de la décision. La première intervention de la recourante est son courrier à l'OCPA du 6 novembre 2007, considéré à juste titre par l'intimé comme valant demande de remise. La recourante ne prétend pas être intervenue antérieurement auprès de l'intimé pour requérir la remise de son obligation de restituer. Il est à constater que le délai de 30 jours débutant dès l'entrée en force de la décision en restitution et dûment mentionné au bas de celle-ci (art. 4 al. 4 OPGA et 15 al. 2 RLPCC) était manifestement échu au</w:t>
      </w:r>
    </w:p>
    <w:p>
      <w:r>
        <w:rPr>
          <w:b/>
        </w:rPr>
        <w:t>E. 6</w:t>
      </w:r>
    </w:p>
    <w:p>
      <w:r>
        <w:t>Le recours ne peut ainsi qu'être rejeté.</w:t>
      </w:r>
    </w:p>
    <w:p>
      <w:r>
        <w:t>A/1185/2008 - 6/6 -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