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ATAS/630/2014 vom 21. Mai 2014</w:t>
      </w:r>
    </w:p>
    <w:p>
      <w:r>
        <w:t>GE Cour de justice, 2014-05-21, FR</w:t>
      </w:r>
    </w:p>
    <w:p>
      <w:r>
        <w:rPr>
          <w:b/>
        </w:rPr>
        <w:t xml:space="preserve">Quelle: </w:t>
      </w:r>
      <w:r>
        <w:t>https://mcp.opencaselaw.ch/entscheid/ge_gerichte_ATAS_630_2014</w:t>
      </w:r>
    </w:p>
    <w:p>
      <w:r>
        <w:t>FR: GE_GERICHTE ATAS/630/2014 du 21 mai 2014</w:t>
      </w:r>
    </w:p>
    <w:p>
      <w:r>
        <w:t>IT: GE_GERICHTE ATAS/630/2014 del 21 maggio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A/2668/2013 - 12/20 - entrée en vigueur (ATF 117 V 93 consid. 6b, ATF 112 V 360 consid. 4a; RAMA 1998 KV 37 p. 316 consid. 3b). En l'espèce, les faits juridiquement déterminants remontent à 2009.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56 à 61 LPGA).</w:t>
      </w:r>
    </w:p>
    <w:p>
      <w:r>
        <w:rPr>
          <w:b/>
        </w:rPr>
        <w:t>E. 4</w:t>
      </w:r>
    </w:p>
    <w:p>
      <w:r>
        <w:t>Le litige porte sur le droit du recourant à une rente de l’assurance-invalidité, singulièrement sur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w:t>
      </w:r>
    </w:p>
    <w:p>
      <w:r>
        <w:t>A/2668/2013 - 13/20 -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op. cit., n°2187 ss).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en effet plus se fonder sur l'art. 48 aLAI pour sauvegarder ses droits au sens de cette disposition, puisque celle-ci n'est plus applicable au moment du dépôt de sa demande (Arrêt du Tribunal fédéral 9C_432/2012 du 31 août 2012 consid. 3.3 et les références citées).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w:t>
      </w:r>
    </w:p>
    <w:p>
      <w:r>
        <w:t>A/2668/2013 - 14/20 - qu'elles résultent de l’ESS (ATF 126 V 75 consid. 3b/aa et bb). On se réfère alors à la statistique des salaires bruts standardisés, en se fondant toujours sur la médiane ou valeur centrale (ATF 124 V 321 consid. 3b/bb).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A/2668/2013 - 15/20 -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8</w:t>
      </w:r>
    </w:p>
    <w:p>
      <w:r>
        <w:t>En l’espèce, il convient en premier lieu d’examiner quelles sont les répercussions de l’atteinte à la santé présentée par le recourant sur sa capacité de travail, depuis le début de sa maladie. Dans son rapport du 13 novembre 2012, le SMR a retenu une incapacité de travail durable de 60% depuis le 1er janvier 2009 en raison d’une atteinte neurologique</w:t>
      </w:r>
    </w:p>
    <w:p>
      <w:r>
        <w:t>A/2668/2013 - 16/20 - grave. L’exigibilité dans l’activité habituelle est nulle dès le 1er janvier 2011. Selon le SMR, les séquelles neurocognitives ne sont vraisemblablement pas compatibles en plein avec l’activité habituelle, mais une reprise progressive a pu avoir lieu dès septembre 2011 dans une activité très probablement aménagée, voire adaptée, initialement à 70 %. Dès le 14 août 2012, date du dernier examen chez la Dresse I______, le SMR considère que la capacité de travail du recourant est de 100% dans une activité adaptée. La chambre de céans constate cependant que, quand bien même les courriers du recourant et du Dr C______ des 10 mai 2012 et 17 novembre 2011 font état de la reprise par l’assuré d’une activité bénévole pour la société L______ LTD « à un taux maximum de 70% » dès le 5 septembre 2011, respectivement d’une reprise du travail à 70% bien supportée par ce dernier, l’incapacité de travail de 30% retenue par l’intimé depuis le 5 septembre 2011 n’est pas corroborée par d’autres pièces au dossier. En effet, la Dresse I______, médecin traitant, a retenu une incapacité de travail dans l’activité habituelle de 60% depuis janvier 2009 et de 100% depuis janvier 2011 ; ensuite, dans son rapport du 18 octobre 2011, elle a retenu que le recourant présentait, au moment de son examen, une capacité de travail de 40% dans le poste occupé au sein d’une entreprise de radio-communication, soit une incapacité de travail de 60%. Elle a énuméré diverses limitations fonctionnelles justifiant ce taux et précisé qu’une activité de salarié à 60% dans le domaine de l’informatique lui paraissait envisageable d’ici quelques mois. D’autre part, la Dresse J______ a exposé dans son rapport du 7 octobre 2011 que le déficit sévère du recourant dans le domaine de la mémoire antérograde verbale et non verbale persistait, que la fatigabilité dont il se plaignait était objectivée lorsque sa charge de travail devenait trop importante, et qu’il avait pu réaliser qu’il n’était plus capable de travailler à 100%, effectuant au moment de l’examen environ trois à quatre heures de travail par jour, cinq jours par semaine. Il sied de relever que le questionnaire rempli par l’ancien employeur du recourant mentionne que ce dernier a travaillé dès le 5 septembre 2011, à un taux de 50 à 70%, pour la société L______ LTD, dirigée par son père, sans percevoir de salaire, sans autre précision quant à la nature de l’activité exercée. Attendu que la Dresse I______ a retenu le 18 octobre 2011 une incapacité de travail de 60%, que la Dresse N______ a indiqué le 7 octobre 2011 que le recourant travaillait trois à quatre heures par jour, et que le questionnaire rempli par l’ex- employeur mentionne un taux d’activité de 50 à 70% depuis le 5 septembre 2011, force est de constater qu’il n’est pas établi, ni même rendu vraisemblable que le recourant présente une incapacité de travail de 30% dès le 5 septembre 2011, comme l’a retenu l’intimé. Pour la période dès le 1er avril 2013, l’intimé, se fondant sur le fait que le recourant bénéficie d’un contrat de travail à 100%, retient implicitement une pleine capacité de travail depuis cette date. Une pleine capacité de travail dans une activité adaptée a certes été retenue dans les rapports de la Dresse I______ et du SMR datés</w:t>
      </w:r>
    </w:p>
    <w:p>
      <w:r>
        <w:t>A/2668/2013 - 17/20 - respectivement des 20 août et du 13 novembre 2012. Il convient toutefois de relever que le rapport de la Dresse I______ est peu motivé, dès lors que cette dernière a retenu une « amélioration globale » des performances de l’assuré depuis sa dernière évaluation ainsi qu’une pleine capacité de travail dans un poste adapté, sans exposer les éléments sur lesquels elle se fondait pour retenir une amélioration de l’état de santé justifiant une pleine capacité de travail. Quant au rapport du SMR du</w:t>
      </w:r>
    </w:p>
    <w:p>
      <w:r>
        <w:rPr>
          <w:b/>
        </w:rPr>
        <w:t>E. 13</w:t>
      </w:r>
    </w:p>
    <w:p>
      <w:r>
        <w:t>novembre 2012, établi sur la base du dossier, il souffre des mêmes lacunes puisque la Dresse M______ s’est fondée sur le rapport de la Dresse I______ du 20 août 2012 pour retenir dès cette date une entière capacité de travail dans un poste adapté. Par conséquent, la Chambre de céans considère que sur le plan médical, les rapports précités de la Dresse I______ et du SMR, comme les autres rapports figurant au dossier, ne sont pas suffisamment motivés pour qu’on puisse sans autre leur reconnaître pleine valeur probante et ainsi se fonder sur ceux-ci pour déterminer les répercussions des atteintes à la santé du recourant sur sa capacité de travail. S’agissant du contrat de travail dont bénéficierait le recourant depuis le 1er avril 2013, il ne figure pas au dossier et la chambre de céans ignore si ce-dernier a pu exercer durablement l’activité lucrative concernée, à quel taux et en quoi consiste cette nouvelle activité. De surcroît, à teneur du rapport du 22 juin 2011, il apparaît que le recourant est peu conscient de l’implication de ses troubles cognitifs dans les activités de la vie professionnelle, de sorte que cet élément ne permet pas davantage à la chambre de céans de tirer des conclusions définitives quant à sa capacité de travail. Vu ce qui précède, la chambre de céans considère que la situation médicale du recourant doit être clarifiée. En effet, en l’état actuel du dossier, elle n’est pas en mesure de se déterminer et de tirer des conclusions définitives quant aux répercussions des atteintes à la santé du recourant sur sa capacité de travail, aussi bien dans l’activité habituelle que dans une activité adaptée respectant les limitations fonctionnelles, ainsi que sur son évolution. Il n’appartient pas au juge de suppléer aux carences administratives, de sorte que le dossier sera renvoyé à l’intimé pour instruction complémentaire, le cas échéant, en mettant en œuvre une expertise neurologique, - laquelle sera confiée à un expert indépendant -, en vue de déterminer les limitations fonctionnelles et les répercussions des atteintes à la santé du recourant sur sa capacité de travail. 9. Enfin, la chambre de céans constate que dans la décision litigieuse, l’intimé n’a procédé à aucune comparaison des revenus pour calculer le degré d’invalidité et n’explique pas clairement quel statut elle a retenu. Il convient de rappeler que la méthode générale de comparaison des revenus s’applique aux personnes qui ont dû interrompre leur activité lucrative pour cause de maladie et auraient continué à exercer cette activité si elles n’étaient pas invalides (Michel VALTERIO, Droit de l’assurance-vieillesse et survivants et de l’assurance-invalidité, Fribourg 2011, n° 2060). Selon cette méthode, pour évaluer</w:t>
      </w:r>
    </w:p>
    <w:p>
      <w:r>
        <w:t>A/2668/2013 - 18/20 -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Cela peut être le cas lors d’une incapacité de travail totale de l’assuré ou lorsque celui-ci présente une entière capacité de travail dans toute activité lucrative. De même,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(Arrêts du Tribunal fédéral des assurances I 45/06 du 5 mars 2007 consid. 4.2.2 ; I 43/05 du 30 juin 2006 consid. 5.2 et I 1/03 du 15 avril 2003 consid. 5.2 ; Michel VALTERIO, op. cit., n° 2035). En l’occurrence, il n’est pas contesté que le recourant a souffert d’une atteinte neurologique qui a provoqué une incapacité de travail dans son ancienne activité, de sorte que celui-ci a manifestement interrompu son activité lucrative pour cause de maladie. L’intimé a pris en compte, au titre du revenu avant invalidité, d’une part le revenu de l’activité salariée exercée en qualité de directeur de la société B______ SA (CHF 131'300.- en 2008) et sur lesquels des cotisations ont été payées (voir extraits des comptes individuels du recourant), et, d’autre part, il a déduit dudit revenu les pertes enregistrées par la société en 2008 (CHF 27'718). On peine à comprendre le raisonnement de l’intimé, qui semble considérer que le recourant est l’ayant droit économique unique de la société anonyme, de sorte qu’il doit se voir imputer aussi bien les bénéfices que les pertes de l’entreprise. Aucun élément au dossier ne permet cependant de considérer que tel est le cas, étant précisé que les bénéfices et les pertes d’une société anonyme sont supportées par la société elle- même, respectivement ses actionnaires. En outre, les activités exercées par le recourant respectivement depuis le 5 septembre 2011 et depuis le 1er avril 2013 ne correspondent vraisemblablement pas à son activité habituelle. A cela s’ajoute que l’on ignore, faute de document au dossier, quelle est la nature de l’activité exercée par le recourant depuis avril 2013, son taux d’occupation et le salaire réalisé. Quoi qu’il en soit, la décision de l’intimé ne peut être confirmée. Il lui appartiendra de rendre une nouvelle décision, en expliquant clairement quel statut il retient et d’intégrer, à l’appui du calcul du degré d’invalidité, une comparaison des revenus conforme au droit. À cette fin, il sollicitera également le contrat de travail du recourant auprès de la société O______ SA. 10. Enfin, le recourant conteste la date fixée dans la décision litigieuse pour la naissance du droit à la rente, soit le 1er novembre 2011, et demande à être « indemnisé » pour les années 2009 à 2011.</w:t>
      </w:r>
    </w:p>
    <w:p>
      <w:r>
        <w:t>A/2668/2013 - 19/20 - En l’espèce, le recourant a déposé sa demande de prestations le 19 mai 2011. C’est par conséquent à juste titre que l’intimé a appliqué l’art. 29 al. 1 LAI, dans sa teneur en vigueur dès le 1er janvier 2008 ; en vertu de cette disposition, le droit éventuel du recourant au versement d’une rente d’invalidité naît au plus tôt le 1er novembre 2011. Son grief est, sur ce point, mal fondé. 11. Au vu de ce qui précède, le recours est partiellement admis, la décision litigieuse annulée et la cause renvoyée à l’intimé, à charge pour celui-ci de mettre en œuvre, le cas échéant, une expertise neurologique selon la procédure prévue à l’art. 44 LPGA, puis de rendre une nouvelle décision, dans le sens des considérants. 12. La procédure de recours en matière de contestation portant sur l’octroi ou le refus de prestations de l’assurance-invalidité étant soumise à des frais de justice, un émolument de CHF 200.- est mis à charge de l’intimé (art. 69 al. 1 bis LAI).</w:t>
      </w:r>
    </w:p>
    <w:p>
      <w:r>
        <w:t>A/2668/2013 - 20/20 -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