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ATAS/62/2023 vom 2. Februar 2023</w:t>
      </w:r>
    </w:p>
    <w:p>
      <w:r>
        <w:t>GE Cour de justice, 2023-02-02, FR</w:t>
      </w:r>
    </w:p>
    <w:p>
      <w:r>
        <w:rPr>
          <w:b/>
        </w:rPr>
        <w:t xml:space="preserve">Quelle: </w:t>
      </w:r>
      <w:r>
        <w:t>https://mcp.opencaselaw.ch/entscheid/ge_gerichte_ATAS_62_2023</w:t>
      </w:r>
    </w:p>
    <w:p>
      <w:r>
        <w:t>FR: GE_GERICHTE ATAS/62/2023 du 2 février 2023</w:t>
      </w:r>
    </w:p>
    <w:p>
      <w:r>
        <w:t>IT: GE_GERICHTE ATAS/62/2023 del 2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l'acte du 19 décembre 2022 de Monsieur A______.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>
      <w:r>
        <w:t>Une copie du présent arrêt est adressée pour information au Service de protection de l’adulte (SPAd)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