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ATAS/62/2009 vom 15. Januar 2009</w:t>
      </w:r>
    </w:p>
    <w:p>
      <w:r>
        <w:t>GE Cour de justice, 2009-01-15, FR</w:t>
      </w:r>
    </w:p>
    <w:p>
      <w:r>
        <w:rPr>
          <w:b/>
        </w:rPr>
        <w:t xml:space="preserve">Quelle: </w:t>
      </w:r>
      <w:r>
        <w:t>https://mcp.opencaselaw.ch/entscheid/ge_gerichte_ATAS_62_2009</w:t>
      </w:r>
    </w:p>
    <w:p>
      <w:r>
        <w:t>FR: GE_GERICHTE ATAS/62/2009 du 15 janvier 2009</w:t>
      </w:r>
    </w:p>
    <w:p>
      <w:r>
        <w:t>IT: GE_GERICHTE ATAS/62/2009 del 15 gennaio 2009</w:t>
      </w:r>
    </w:p>
    <w:p>
      <w:pPr>
        <w:pStyle w:val="Heading2"/>
      </w:pPr>
      <w:r>
        <w:t>Erwägungen</w:t>
      </w:r>
    </w:p>
    <w:p>
      <w:r>
        <w:rPr>
          <w:b/>
        </w:rPr>
        <w:t>E. 1</w:t>
      </w:r>
    </w:p>
    <w:p>
      <w:r>
        <w:t>L’objet du recours ressortit à la loi fédérale sur l’assurance-invalidité du 19 juin 1959 (LAI), de sorte que le Tribunal de céans est matériellement compétent pour statuer en l’espèce (cf. art. 56 V al. 1 let. a ch. 2 LOJ).</w:t>
      </w:r>
    </w:p>
    <w:p>
      <w:r>
        <w:rPr>
          <w:b/>
        </w:rPr>
        <w:t>E. 2</w:t>
      </w:r>
    </w:p>
    <w:p>
      <w:r>
        <w:t>Interjeté dans la forme et le délai prescrits, le recours est recevable (art. 56 et ss de la loi fédérale sur la partie générale des assurances sociales, du 6 octobre 2000, ci-après : LPGA).</w:t>
      </w:r>
    </w:p>
    <w:p>
      <w:r>
        <w:rPr>
          <w:b/>
        </w:rPr>
        <w:t>E. 3</w:t>
      </w:r>
    </w:p>
    <w:p>
      <w:r>
        <w:t>Le litige porte sur la suppression, par voie de révision, du droit de la recourante à une rente entière d’invalidité. Il s’agit en particulier de déterminer si l’invalidité de l’assurée s'est modifiée au point d'influencer son droit à la rente entre le</w:t>
      </w:r>
    </w:p>
    <w:p>
      <w:r>
        <w:rPr>
          <w:b/>
        </w:rPr>
        <w:t>E. 3.2</w:t>
      </w:r>
    </w:p>
    <w:p>
      <w:r>
        <w:t>avec les références). Le fait que l’assuré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 A cela s’ajoute que ni la Dresse A__________, ni la Dresse B__________ n’ont exclu la possibilité pour la patiente de reprendre progressivement une activité professionnelle.</w:t>
      </w:r>
    </w:p>
    <w:p>
      <w:r>
        <w:rPr>
          <w:b/>
        </w:rPr>
        <w:t>E. 6</w:t>
      </w:r>
    </w:p>
    <w:p>
      <w:r>
        <w:t>Pour qu'une invalidité soit reconnue, il est nécessaire, dans chaque cas, qu'un substrat médical pertinent, entravant la capacité de travail (et de gain) de manière importante, soit mis en évidence par le médecin spécialisé (ATF du 21 août 2007, I 797/06, consid. 4). La limitation concrète de la capacité de travail résultant de l'empêchement est déterminante pour fixer le degré de l'incapacité de travail; elle s'apprécie sur la base de constatations médicales (RAMA 1987 No U 27 p. 394, consid. 2b; ATA/262/2001).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t>A/1728/2008 - 11/15 -</w:t>
      </w:r>
    </w:p>
    <w:p>
      <w:r>
        <w:rPr>
          <w:b/>
        </w:rPr>
        <w:t>E. 7</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p. 352).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consid. 4.1). L’autorité administrative doit constater d’office les faits déterminants, c’est-à- dire toutes les circonstances dont dépend l’application des règles de droit</w:t>
      </w:r>
    </w:p>
    <w:p>
      <w:r>
        <w:t>A/1728/2008 - 12/15 -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8</w:t>
      </w:r>
    </w:p>
    <w:p>
      <w:r>
        <w:t>A l’appui de la décision litigieuse, l’OCAI s’est fondé sur le rapport d’expertise de la Dresse C__________ du 26 janvier 2008, concluant, d’une part, à la rémission complète, depuis début janvier 2006, du trouble dépressif récurrent initialement présenté par l’assurée, et, d’autre part, au rétablissement, dès cette date, d’une capacité de travail de 100%, dans une activité simple, sans diminution de rendement.</w:t>
      </w:r>
    </w:p>
    <w:p>
      <w:r>
        <w:rPr>
          <w:b/>
        </w:rPr>
        <w:t>E. 9</w:t>
      </w:r>
    </w:p>
    <w:p>
      <w:r>
        <w:t>Dans le cas particulier, on doit constater que cette expertise ne répond pas entièrement aux critères propres à lui conférer pleine valeur probante (cf. supra, § 7). L’experte a certes explicité de façon circonstanciée les raisons pour lesquelles elle a retenu que la situation n'était plus du tout la même qu'à l'époque où une incapacité de travail justifiant l'octroi d'une rente entière avait été admise pour des raisons psychiatriques (compte tenu notamment de l’estompement des facteurs de stress présents à l’époque, en particulier de la prise en charge de sa fille handicapée dans une institution spécialisée les jours de la semaine de 8h à 13h30 et de la stabilisation du séjour sur le plan administratif avec la naturalisation de l’assurée en 2004) (cf. rapport d’expertise du 26 janvier 2008, pp. 18 et 19). Toutefois, il apparaît, à la lumière des explications complémentaires de la doctoressse B__________ des 20 mai, 11 juillet et 6 novembre 2008, que l’experte s’est fondée en particulier sur une anamnèse incomplète - et, singulièrement, sur une interprétation sans doute un peu hâtive des déclarations de la patiente relatives à son fonctionnement supposément conservé dans la vie quotidienne - pour exclure le diagnostic de trouble de la personnalité posé par la doctoressse B__________. Il apparaît au demeurant que, dans son complément d’expertise du 30 septembre 2008, la Dresse C__________ n’a pas suffisamment pris en compte les observations de la psychiatre traitante développées dans ses avis des 20 mai et 11 juillet 2008. Par ailleurs, on ne saurait suivre sans autre l’experte, lorsqu’elle retient que l’interruption de la prise en charge médicale, à la fin de l’année 2005, traduit une absence de souffrance psychique chez l’expertisée. En effet, cette situation semble s’expliquer d’avantage par des motifs économiques (l’assurée devant alors payer chaque consultation chez sa psychiatre traitante, dès lors qu’elle</w:t>
      </w:r>
    </w:p>
    <w:p>
      <w:r>
        <w:t>A/1728/2008 - 13/15 - n’avait plus réglé ses factures depuis des mois) que par une véritable absence de demande de soins de sa part. Enfin, on relèvera que le « problème de comportement » qui a motivé la résiliation du contrat de travail de l’assurée en 2001 (cf. questionnaire de l’employeur du 26 février 2003) ne semble pas avoir été apprécié sous l’angle médical. D’un autre côté, si la Dresse B__________ a exposé de manière convaincante les raisons pour lesquelles elle diagnostiquait un trouble de la personnalité à l'inverse de l’experte, ses avis mettent en évidence, en partie du moins, des éléments prégnants des champs socio-culturel et psycho-social de l'assurée, lesquels ne sauraient toutefois être pris en considération sous l’angle de l’invalidité, conformément à la jurisprudence (ATF 127 V 294 consid. 5a p. 299 s.). En effet,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w:t>
      </w:r>
    </w:p>
    <w:p>
      <w:r>
        <w:rPr>
          <w:b/>
        </w:rPr>
        <w:t>E. 10</w:t>
      </w:r>
    </w:p>
    <w:p>
      <w:r>
        <w:t>Il apparaît ainsi que les faits tels qu'ils ressortent du dossier médical sont incomplets, - ce que tant l’OCAI que le SMR ont d’ailleurs eux-mêmes finalement admis dans leurs observations et avis des 1er et 5 décembre 2008.</w:t>
      </w:r>
    </w:p>
    <w:p>
      <w:r>
        <w:rPr>
          <w:b/>
        </w:rPr>
        <w:t>E. 11</w:t>
      </w:r>
    </w:p>
    <w:p>
      <w:r>
        <w:t>Il s'impose donc de renvoyer la cause à l'Office intimé pour qu’il procède à une instruction complémentaire et mette en œuvre une (nouvelle) expertise médicale auprès d’un service de psychiatrie universitaire en Suisse romande et rende ensuite une nouvelle décision.</w:t>
      </w:r>
    </w:p>
    <w:p>
      <w:r>
        <w:rPr>
          <w:b/>
        </w:rPr>
        <w:t>E. 12</w:t>
      </w:r>
    </w:p>
    <w:p>
      <w:r>
        <w:t>Le cas échéant, il incombera ensuite audit Office d’examiner si, comme le préconisent les médecins traitants, l’assurée peut bénéficier de mesures de réinsertion (socioprofessionnelles et/ou d’occupation) préparant à la réadaptation professionnelle (cf. art. 14a LAI).</w:t>
      </w:r>
    </w:p>
    <w:p>
      <w:r>
        <w:rPr>
          <w:b/>
        </w:rPr>
        <w:t>E. 13</w:t>
      </w:r>
    </w:p>
    <w:p>
      <w:r>
        <w:t>Le recours étant partiellement admis, la recourante, représentée par un avocat, a droit à l’allocation de dépens, fixés en l'espèce à 1'500 fr. (art. 61 let. g LPGA). Ceux-ci lui sont alloués indépendamment du fait qu’elle plaide au bénéfice de</w:t>
      </w:r>
    </w:p>
    <w:p>
      <w:r>
        <w:t>A/1728/2008 - 14/15 - l’assistance judiciaire (ATF du 20 décembre 2007, I 1059/06, consid. 3), étant par ailleurs précisé, à toutes fins utiles, que les dépens auxquels la partie adverse a été condamnée seront en principe imputés sur l'état de frais de l'avocat (art. 21 du Règlement sur l’assistance juridique du 18 mars 1996).</w:t>
      </w:r>
    </w:p>
    <w:p>
      <w:r>
        <w:rPr>
          <w:b/>
        </w:rPr>
        <w:t>E. 14</w:t>
      </w:r>
    </w:p>
    <w:p>
      <w:r>
        <w:t>Conformément à l'art. 69 al. 1bis LAI, un émolument de 500 fr. est mis à la charge de l'intimé, qui succombe.</w:t>
      </w:r>
    </w:p>
    <w:p>
      <w:r>
        <w:t>A/1728/2008 - 15/15 -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