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ATAS/62/2008 vom 22. Januar 2008</w:t>
      </w:r>
    </w:p>
    <w:p>
      <w:r>
        <w:t>GE Cour de justice, 2008-01-22, FR</w:t>
      </w:r>
    </w:p>
    <w:p>
      <w:r>
        <w:rPr>
          <w:b/>
        </w:rPr>
        <w:t xml:space="preserve">Quelle: </w:t>
      </w:r>
      <w:r>
        <w:t>https://mcp.opencaselaw.ch/entscheid/ge_gerichte_ATAS_62_2008</w:t>
      </w:r>
    </w:p>
    <w:p>
      <w:r>
        <w:t>FR: GE_GERICHTE ATAS/62/2008 du 22 janvier 2008</w:t>
      </w:r>
    </w:p>
    <w:p>
      <w:r>
        <w:t>IT: GE_GERICHTE ATAS/62/2008 del 22 gennaio 2008</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w:t>
      </w:r>
    </w:p>
    <w:p>
      <w:r>
        <w:rPr>
          <w:b/>
        </w:rPr>
        <w:t>E. 2</w:t>
      </w:r>
    </w:p>
    <w:p>
      <w:r>
        <w:t>La LPGA est entrée en vigueur le 1er janvier 2003, entraînant des modifications législatives notamment dans le droit de l'assurance-invalidité.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4 consid. 1.2; 169 consid. 1 ; 356 consid. 1 et les arrêts cités). En ce qui concerne la procédure et à défaut de règles transitoires contraires, la LPGA et son ordonnance d'application s'appliquent sans réserve dès le jour de leur entrée en vigueur (ATF 117 V 93 consid. 6b; 112 V 360 consid. 4a; RAMA 1998 KV 37 p. 316 consid. 3b). Sur le fond, le Tribunal de céans relève que la décision litigieuse ayant été rendue en date du 27 août 2007 et statuant sur un état de fait juridiquement déterminant remontant à l'année 2002, le présent litige sera examiné à la lumière des dispositions de la LPGA. Il convient quoi qu'il en soit de relever que ces dispositions n'ont pas modifié la notion d'invalidité selon l'ancienne LAI et la jurisprudence du TFA y relative est toujours d'actualité.</w:t>
      </w:r>
    </w:p>
    <w:p>
      <w:r>
        <w:t>A/3665/2007 - 8/15 -</w:t>
      </w:r>
    </w:p>
    <w:p>
      <w:r>
        <w:rPr>
          <w:b/>
        </w:rPr>
        <w:t>E. 3</w:t>
      </w:r>
    </w:p>
    <w:p>
      <w:r>
        <w:t>Déposé dans les forme et délai prévus par la loi, le présent recours est recevable (art. 60 LPGA).</w:t>
      </w:r>
    </w:p>
    <w:p>
      <w:r>
        <w:rPr>
          <w:b/>
        </w:rPr>
        <w:t>E. 4</w:t>
      </w:r>
    </w:p>
    <w:p>
      <w:r>
        <w:t>L'objet du litige porte sur le droit de l'OCAI à remplacer par une demi-rente la rente entière d'invalidité jusqu'ici versée.</w:t>
      </w:r>
    </w:p>
    <w:p>
      <w:r>
        <w:rPr>
          <w:b/>
        </w:rPr>
        <w:t>E. 5</w:t>
      </w:r>
    </w:p>
    <w:p>
      <w:r>
        <w:t>Selon l'art. 17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La rente peut être révisée non seulement en cas de modification sensible de l'état de santé, mais aussi lorsque celui-ci est resté en soi le même, mais que ses conséquences sur la capacité de gain ont subi un changement important (ATF 130 V 349 consid. 3.5, 113 V 275 consid. 1a; voir également ATF 112 V 372 consid. 2b et 390 consid. 1b, ATFA non publié du 28 décembre 2006, I 520/05, consid 3.2). Le point de savoir si un tel changement s'est produit doit être tranché en comparant les faits tels qu'ils se présentaient au moment de la décision initiale de rente et les circonstances régnant à l'époque de la décision litigieuse (ATF 125 V 369 consid. 2 et la référence; voir également ATF 112 V 372 consid. 2b et 390 consid. 1b). A l'instar de ce qui prévaut pour une nouvelle demande (ATF 130 V 71), c'est la dernière décision entrée en force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révision de la rente (sur demande ou d'office; ATF 133 V 108).</w:t>
      </w:r>
    </w:p>
    <w:p>
      <w:r>
        <w:rPr>
          <w:b/>
        </w:rPr>
        <w:t>E. 6</w:t>
      </w:r>
    </w:p>
    <w:p>
      <w:r>
        <w:t>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w:t>
      </w:r>
    </w:p>
    <w:p>
      <w:r>
        <w:rPr>
          <w:b/>
        </w:rPr>
        <w:t>E. 7</w:t>
      </w:r>
    </w:p>
    <w:p>
      <w:r>
        <w:t>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w:t>
      </w:r>
    </w:p>
    <w:p>
      <w:r>
        <w:t>A/3665/2007 - 9/15 -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Ainsi,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En vertu de la maxime d'office, l'administration et le juge doivent veiller d'office à l'établissement exact et complet des faits pertinents. Sont pertinents tous les faits dont l'existence peut influencer d'une manière ou d'une autre le jugement relatif à la prétention. Dans ce contexte,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w:t>
      </w:r>
    </w:p>
    <w:p>
      <w:r>
        <w:t>A/3665/2007 - 10/15 -</w:t>
      </w:r>
    </w:p>
    <w:p>
      <w:r>
        <w:rPr>
          <w:b/>
        </w:rPr>
        <w:t>E. 8</w:t>
      </w:r>
    </w:p>
    <w:p>
      <w:r>
        <w:t>En l'espèce, il convient de comparer les faits tels qu'ils se présentaient à l'époque de la décision du 15 février 2002, allouant à l'assuré une rente entière d'invalidité, à ceux existant au moment de la décision litigieuse du 27 août 2007, réduisant ladite rente de moitié.</w:t>
      </w:r>
    </w:p>
    <w:p>
      <w:r>
        <w:rPr>
          <w:b/>
        </w:rPr>
        <w:t>E. 9</w:t>
      </w:r>
    </w:p>
    <w:p>
      <w:r>
        <w:t>L'OCAI avait, par décision du 15 février 2002, reconnu à l'assuré le droit à une rente entière dès le 1er septembre 2001. Il s'était fondé sur le dossier médical de l'assureur-accidents et sur le rapport du Dr T_________. Le Dr U_________ avait alors considéré qu'il était prématuré d'envisager une reprise du travail ou des mesures de réadaptation, vu les complications postopératoires intervenues sous forme d'une algodystrophie.</w:t>
      </w:r>
    </w:p>
    <w:p>
      <w:r>
        <w:rPr>
          <w:b/>
        </w:rPr>
        <w:t>E. 10</w:t>
      </w:r>
    </w:p>
    <w:p>
      <w:r>
        <w:t>Dans le cadre de la révision prévue une année plus tard, soit en avril 2003, le Dr T_________ a indiqué que l'état de santé de son patient n'avait subi aucune modification. Le 5 mars 2004, il a confirmé que la main droite était pratiquement impotente et que le patient ne pouvait pratiquement pas l'utiliser même pour des activités de la vie quotidienne.</w:t>
      </w:r>
    </w:p>
    <w:p>
      <w:r>
        <w:rPr>
          <w:b/>
        </w:rPr>
        <w:t>E. 11</w:t>
      </w:r>
    </w:p>
    <w:p>
      <w:r>
        <w:t>La Dresse V_________, experte mandatée par l'OCAI, a elle aussi considéré que l'assuré ne pourrait pas reprendre une activité de jardinier, mais a suggéré une révision chirurgicale de la pulpe auriculaire, et des injections locales de toxine botulinique afin de contrôler l'hypersudation, ce qui permettrait d'envisager, à son avis, une recyclage professionnel et la reprise d'une activité lucrative partielle. Elle a par ailleurs recommandé un examen neurologique s'agissant des maux de tête dont se plaint l'assuré.</w:t>
      </w:r>
    </w:p>
    <w:p>
      <w:r>
        <w:rPr>
          <w:b/>
        </w:rPr>
        <w:t>E. 12</w:t>
      </w:r>
    </w:p>
    <w:p>
      <w:r>
        <w:t>Il y a toutefois lieu de constater que les Dr D'T_________ et L_________ ont écarté les mesures préconisées par la Dresse V_________. Il n'a par ailleurs été procédé à aucun examen neurologique complémentaire.</w:t>
      </w:r>
    </w:p>
    <w:p>
      <w:r>
        <w:rPr>
          <w:b/>
        </w:rPr>
        <w:t>E. 13</w:t>
      </w:r>
    </w:p>
    <w:p>
      <w:r>
        <w:t>Tant le Dr L_________ que la Dresse V_________ ont évoqué la possibilité pour l'assuré de reprendre un emploi à temps partiel, cette dernière ne l'envisageant toutefois qu'à certaines conditions (intervention chirurgicale et injections de toxine botulique) ; aucun d'entre eux cependant n'a fixé précisément un degré de capacité résiduelle de travail.</w:t>
      </w:r>
    </w:p>
    <w:p>
      <w:r>
        <w:rPr>
          <w:b/>
        </w:rPr>
        <w:t>E. 14</w:t>
      </w:r>
    </w:p>
    <w:p>
      <w:r>
        <w:t>Il résulte du rapport OSER du 15 février 2007 que le rendement de l'assuré est de 100% sur 4 heures de travail par jour dans le secteur industriel léger (ouvrier à l'établi). L'OCAI en a conclu l'existence d'une capacité manuelle de 50-60% dans le cadre d'un emploi ne nécessitant pas d'utiliser le membre supérieur dominant. Il est vrai que l'observation en atelier a montré que le rendement exigible évalué "entre 40 et 60%" devait être confirmé en entreprise et sur la durée et que, lors du stage effectué dans l'entreprise X_________ SA, ainsi que le relève expressément l'assuré dans son recours, il est indiqué que son rendement ne dépasse pas 30 à</w:t>
      </w:r>
    </w:p>
    <w:p>
      <w:r>
        <w:t>A/3665/2007 - 11/15 - 40%. Il est toutefois précisé dans le même rapport, au paragraphe suivant, que l'assuré pourrait travailler dans le circuit économique ordinaire à mi-temps dans des travaux simples et légers. On peut en conséquence conclure à une capacité de travail de 50%.</w:t>
      </w:r>
    </w:p>
    <w:p>
      <w:r>
        <w:rPr>
          <w:b/>
        </w:rPr>
        <w:t>E. 15</w:t>
      </w:r>
    </w:p>
    <w:p>
      <w:r>
        <w:t>Reste à déterminer le degré d'invalidité de l'assurée en procédant à la comparaison des revenus avant et après invalidité.</w:t>
      </w:r>
    </w:p>
    <w:p>
      <w:r>
        <w:rPr>
          <w:b/>
        </w:rPr>
        <w:t>E. 16</w:t>
      </w:r>
    </w:p>
    <w:p>
      <w:r>
        <w:t>Aux termes de l’art. 28 al. 1 LAI, en vigueur depuis le 1er janvier 2004, l’assuré a droit à un quart de rente si le taux d'invalidité atteint 40% au moins, à une demi- rente s’il atteint 50% au moins, à trois-quarts de rente s’il atteint 60% et à une rente entière s’il atteint 70% au moins.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jusqu'au 31 décembre 2002: art. 28 al. 2 LAI; du 1er janvier au 31 décembre 2003: art. 1 al. 1 LAI en corrélation avec l'art. 16 LPGA; depuis le 1er janvier 2004: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w:t>
      </w:r>
    </w:p>
    <w:p>
      <w:r>
        <w:rPr>
          <w:b/>
        </w:rPr>
        <w:t>E. 17</w:t>
      </w:r>
    </w:p>
    <w:p>
      <w:r>
        <w:t>En l'espèce, le calcul auquel a procédé l'OCAI est conforme aux dispositions légales et réglementaires applicables, ainsi qu'à la jurisprudence du TFA. L'OCAI a à juste titre pris en considération les chiffres résultant de l'Enquête suisse sur la structure des salaires (ESS) 2004 pour établir le revenu avec invalidité.</w:t>
      </w:r>
    </w:p>
    <w:p>
      <w:r>
        <w:rPr>
          <w:b/>
        </w:rPr>
        <w:t>E. 18</w:t>
      </w:r>
    </w:p>
    <w:p>
      <w:r>
        <w:t>L'OCAI a retenu un taux d'abattement supplémentaire de 10%.</w:t>
      </w:r>
    </w:p>
    <w:p>
      <w:r>
        <w:t>A/3665/2007 - 12/15 - La mesure dans laquelle les salaires ressortant des statistiques doivent être réduits, dépend de l'ensemble des circonstances personnelles et professionnelles du cas particulier (limitations liées au handicap, âge, années de service, nationalité/ 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79 consid. 5b/aa cc; VSI 2002 p. 70 s. consid. 4b). La déduction de 25% n’intervient cependant pas de manière générale et dans chaque cas. Il faut au contraire examiner sur la base de l’ensemble des circonstances du cas concret particulier si et dans quelle mesure le revenu hypothétique doit être réduit. Par ailleurs, il n’y a pas lieu de procéder à des déductions distinctes pour chacun des facteurs entrant en considération comme les limitations liées au handicap, l’âge, les années de service, la nationalité ou la catégorie de permis de séjour, ou encore le taux d’occupation. Il faut bien plutôt procéder à une évaluation globale, dans les limites du pouvoir d’appréciation, des effets de ces facteurs sur le revenu d’invalide, compte tenu de l’ensemble des circonstances du cas concret. Le TFA a ainsi procédé à un abattement de 15% pour tenir compte en particulier de la nationalité étrangère du recourant et de l’empêchement à effectuer des travaux lourds ou de la nécessité d'alterner les positions assis/debout (ATFA non publié du 30 novembre 2001 I 422/01). Dans un autre cas, l’abattement a été fixé à 15% dans le cas d’un ressortissant portugais d’une cinquantaine d’année subissant des limitations importantes de l’épaule (ATFA non publié du 18 juillet 2003, I 422/01). Dans un arrêt du 23 octobre 2000 (ATFA non publié en la cause I 177/00), le Tribunal fédéral a indiqué qu’il n’y avait pas lieu de retenir un abattement de 10% en raison de la limitation à des activités légères dans le cadre d’activités simples et répétitives que recouvraient les secteurs de la production et des services, car au regard du large éventail d'activités que recouvrait cette catégorie, on devait convenir qu'un nombre significatif de ces activités sont légères et permettent l'alternance des positions et sont donc adaptées aux handicaps des assurés qui ne peuvent plus effectuer de travaux lourds et doivent éviter les positions statiques prolongées. Enfin, le TFA admet comme un facteur de réduction le fait que l’intéressé se trouve limité à exercer un travail à temps partiel. En effet, il est généralement admis que les employés à temps partiel gagnent proportionnellement moins que ceux qui travaillent à temps plein (Arrêt du TFA du 10 octobre 2003, I 412/03 ; voir VSI 1998 p. 182 consid. 4b, 1998 p. 297 ; ESS 2000 p. 24 tableau 9).</w:t>
      </w:r>
    </w:p>
    <w:p>
      <w:r>
        <w:t>A/3665/2007 - 13/15 - La réduction des salaires ressortant des statistiques ressortit en premier lieu à l'office AI, qui dispose pour cela d'un large pouvoir d'appréciation. Cela étant, le juge doit faire preuve de retenue lorsqu'il est amené à vérifier le bien-fondé d'une telle appréciation. L'examen porte alors sur le point de savoir si une autre solution que celle que l'autorité, dans le cas concret, a adopté dans le cadre de son pouvoir d'appréciation et en respectant les principes généraux du droit, n'aurait pas été plus judicieuse quant à son résultat. Pour autant, le juge des assurances sociales ne peut, sans motif pertinent, substituer son appréciation à celle de l'administration; il doit s'appuyer sur des circonstances de nature à faire apparaître sa propre appréciation comme la mieux appropriée (ATF 126 V 75 consid. 6 p. 81, 123 V 150 consid. 2 et les références p. 152). En l'espèce, il convient de rappeler que l'assuré ne peut exercer qu'un emploi à temps partiel, qu'il est de nationalité étrangère, qu'il subit une limitation très importante ( main dominante inutilisable), qu'il ne s'agit en effet pas seulement pour lui d'éviter les travaux lourds et les positions statiques prolongées, que l'éventail des activités adaptées est très restreint, de sorte que le taux d'abattement pris en considération par l'OCAI de 10% paraît loin d'être suffisant. Le Tribunal de céans considère qu'il se justifie de tenir compte d'un taux de 20%, ce qui donne un degré d'invalidité de 60%. Un tel taux ouvre le droit à un trois-quart de rente.</w:t>
      </w:r>
    </w:p>
    <w:p>
      <w:r>
        <w:rPr>
          <w:b/>
        </w:rPr>
        <w:t>E. 19</w:t>
      </w:r>
    </w:p>
    <w:p>
      <w:r>
        <w:t>Aussi le recours est-il partiellement admis.</w:t>
      </w:r>
    </w:p>
    <w:p>
      <w:r>
        <w:rPr>
          <w:b/>
        </w:rPr>
        <w:t>E. 20</w:t>
      </w:r>
    </w:p>
    <w:p>
      <w:r>
        <w:t>Selon l'art. 8 al. 1 LAI, en sa nouvelle teneur en vigueur depuis le 1er janvier 2004 (4ème révision AI), les assurés invalides ou menacés d'une invalidité (art. 8 LPGA) imminente ont droit aux mesures de réadaptation nécessaires qui sont de nature à rétablir, à maintenir ou à améliorer leur capacité de gain ou leur capacité d'accomplir leurs travaux habituels, qu'ils aient ou non exercé une activité lucrative préalable. Ce droit est déterminé en fonction de toute la durée d'activité probable. Les mesures de réadaptation comprennent en particulier des mesures d'ordre professionnel (orientation professionnelle, formation professionnelle initiale, reclassement professionnel, service de placement ; art. 8 al. 3 let. b LAI; cf. également art. 15 à 18 LAI).</w:t>
      </w:r>
    </w:p>
    <w:p>
      <w:r>
        <w:rPr>
          <w:b/>
        </w:rPr>
        <w:t>E. 21</w:t>
      </w:r>
    </w:p>
    <w:p>
      <w:r>
        <w:t>Pour déterminer si une mesure de réadaptation d'ordre professionnel est de nature à rétablir, améliorer, sauvegarder ou à favoriser l'usage de la capacité de gain de l'assuré, l'administration doit préalablement établir un pronostic sur les chances de succès des mesures demandées (cf. ATF 110 V 102), qui ne seront pas allouées si elles sont vouées à l'échec selon toute vraisemblance. Le droit à une mesure de réadaptation déterminée suppose en effet qu'elle soit appropriée au but de la réadaptation poursuivi par l'assurance-invalidité tant objectivement en ce qui concerne la mesure, que sur le plan subjectif en ce qui concerne la personne de l'assuré (VSI 2002 p. 112 consid. 2 et les références). En effet, des mesures de</w:t>
      </w:r>
    </w:p>
    <w:p>
      <w:r>
        <w:t>A/3665/2007 - 14/15 - réadaptation ne sont à la charge de l'assurance-invalidité que s'il existe une proportion raisonnable entre leur coût et leur utilité prévisible.</w:t>
      </w:r>
    </w:p>
    <w:p>
      <w:r>
        <w:rPr>
          <w:b/>
        </w:rPr>
        <w:t>E. 22</w:t>
      </w:r>
    </w:p>
    <w:p>
      <w:r>
        <w:t>En l'espèce, les chances de reclassement dans le secteur tertiaire paraissent d'emblée vouées à l'échec, ainsi que le relève la division de réadaptation professionnelle de l'AI (MEYER-BLASER, op. cit. p. 85; VSI 2002 consid. 2 p. 112 [I 370/98]). Une mise au courant en entreprise paraît en l'espèce une mesure plus appropriée.</w:t>
      </w:r>
    </w:p>
    <w:p>
      <w:r>
        <w:t>A/3665/2007 - 15/15 -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