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ATAS/629/2019 vom 2. Juli 2019</w:t>
      </w:r>
    </w:p>
    <w:p>
      <w:r>
        <w:t>GE Cour de justice, 2019-07-02, FR</w:t>
      </w:r>
    </w:p>
    <w:p>
      <w:r>
        <w:rPr>
          <w:b/>
        </w:rPr>
        <w:t xml:space="preserve">Quelle: </w:t>
      </w:r>
      <w:r>
        <w:t>https://mcp.opencaselaw.ch/entscheid/ge_gerichte_ATAS_629_2019</w:t>
      </w:r>
    </w:p>
    <w:p>
      <w:r>
        <w:t>FR: GE_GERICHTE ATAS/629/2019 du 2 juillet 2019</w:t>
      </w:r>
    </w:p>
    <w:p>
      <w:r>
        <w:t>IT: GE_GERICHTE ATAS/629/2019 del 2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adressé dans les forme et délai légaux (art. 56ss LPGA), de sorte qu'il est recevable.</w:t>
      </w:r>
    </w:p>
    <w:p>
      <w:r>
        <w:rPr>
          <w:b/>
        </w:rPr>
        <w:t>E. 3</w:t>
      </w:r>
    </w:p>
    <w:p>
      <w:r>
        <w:t>Le litige porte sur la remise de l’obligation de restituer la somme de CHF 17'758.70, étant précisé que la décision du 10 juin 2016, fixant le principe et le montant de la restitution, a été confirmée sur opposition le 10 octobre 2016, puis par la chambre de céans le 4 avril 2017 (ATAS/259/2017), de sorte qu’elle est entrée en force.</w:t>
      </w:r>
    </w:p>
    <w:p>
      <w:r>
        <w:rPr>
          <w:b/>
        </w:rPr>
        <w:t>E. 4</w:t>
      </w:r>
    </w:p>
    <w:p>
      <w:r>
        <w:t>Aux termes de l’art. 25 al. 1 2ème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w:t>
      </w:r>
    </w:p>
    <w:p>
      <w:r>
        <w:t>A/2975/2018 - 4/7 -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w:t>
      </w:r>
    </w:p>
    <w:p>
      <w:r>
        <w:t>A/2975/2018 - 5/7 -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w:t>
      </w:r>
    </w:p>
    <w:p>
      <w:r>
        <w:rPr>
          <w:b/>
        </w:rPr>
        <w:t>E. 5</w:t>
      </w:r>
    </w:p>
    <w:p>
      <w:r>
        <w:t>En l’espèce, l’assuré ne réside plus à Genève depuis le 1er octobre 2014 selon l’arrêt de la chambre administrative du 19 avril 2016, entré en force. Par arrêt du 20 mai 2016, le Tribunal fédéral, saisi d’un recours en matière de droit public par l’intéressé, a en effet déclaré celui-ci irrecevable, en tant qu’il invoquait la violation du droit cantonal en tant que tel. Force est de constater que l’assuré n’en a pas lui- même informé le SPC. Il a ainsi failli à son obligation de renseigner.</w:t>
      </w:r>
    </w:p>
    <w:p>
      <w:r>
        <w:rPr>
          <w:b/>
        </w:rPr>
        <w:t>E. 6</w:t>
      </w:r>
    </w:p>
    <w:p>
      <w:r>
        <w:t>Reste à qualifier la gravité de cette négligence. En effet, la bonne foi d'un assuré ne peut être niée que lorsque l'acte ou l'omission fautif constitue une violation grave de l'obligation d'annoncer ou de renseigner. Il y a en l’espèce lieu de considérer que l’assuré n’a pas eu le temps d’annoncer au SPC qu’un arrêt se prononçant sur son domicile était entré en force. Le SPC lui a en effet notifié une décision de restitution le 10 juin 2016, soit à peine quelques jours après que l’arrêt du Tribunal fédéral ait été rendu. Or, dans un arrêt du 19 février 2019 (ATAS/139/2019), la chambre de céans a été d’avis que la violation de renseigner ne saurait, compte tenu du délai relativement court (soit en l’occurrence trois mois) qui s’est écoulé entre la conclusion du contrat de partenariat enregistré et le moment où il en a informé le SPC, être qualifiée de grave et ne constitue, partant, qu’une négligence légère, laquelle n’exclut pas la réalisation de la bonne foi. Le Tribunal fédéral a de même considéré qu’on ne pouvait reprocher une violation de son devoir d’informer à une recourante qui avait averti l’autorité de son changement de situation deux mois après (arrêt 9C_496/2014). On ne saurait dès lors reprocher à l’assuré d’avoir omis d’informer le SPC.</w:t>
      </w:r>
    </w:p>
    <w:p>
      <w:r>
        <w:t>A/2975/2018 - 6/7 - Il en est de même s’agissant de la période courant dès le 1er octobre 2014, date à compter de laquelle l’assuré est considéré comme n’étant plus résidant à Genève. Il importe en effet de rappeler que l’assuré a toujours prétendu être domicilié à Genève. Il l’a répété maintes fois. La jurisprudence selon laquelle il n'appartient pas au bénéficiaire des prestations de préjuger de l'impact sur ses prestations de l’annonce d’un tel élément, que même s'il s'agit d'un changement de circonstances qui lui paraît de moindre importance et même s'il considère qu'il n'entrainera vraisemblablement pas de modification de son droit, le bénéficiaire se doit de remplir son obligation de renseigner, n’est pas applicable en l’espèce, dès lors que l’assuré était à l’évidence convaincu d’être resté domicilié à Genève, raison pour laquelle du reste il a recouru à plusieurs reprises contre les décisions (et arrêts) affirmant le contraire. Il suit de ce qui précède que l’assuré peut exciper, dans le cas d’espèce, de sa bonne foi, de sorte que le recours est admis, la décision du 24 juillet 2018 annulée, et le dossier renvoyé au SPC pour examen de la condition de la charge trop lourde.</w:t>
      </w:r>
    </w:p>
    <w:p>
      <w:r>
        <w:t>A/2975/2018 - 7/7 -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