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ATAS/628/2025 vom 22. August 2025</w:t>
      </w:r>
    </w:p>
    <w:p>
      <w:r>
        <w:t>GE Cour de justice, 2025-08-22, FR</w:t>
      </w:r>
    </w:p>
    <w:p>
      <w:r>
        <w:rPr>
          <w:b/>
        </w:rPr>
        <w:t xml:space="preserve">Quelle: </w:t>
      </w:r>
      <w:r>
        <w:t>https://mcp.opencaselaw.ch/entscheid/ge_gerichte_ATAS_628_2025</w:t>
      </w:r>
    </w:p>
    <w:p>
      <w:r>
        <w:t>FR: GE_GERICHTE ATAS/628/2025 du 22 août 2025</w:t>
      </w:r>
    </w:p>
    <w:p>
      <w:r>
        <w:t>IT: GE_GERICHTE ATAS/628/2025 del 22 agosto 2025</w:t>
      </w:r>
    </w:p>
    <w:p>
      <w:pPr>
        <w:pStyle w:val="Heading2"/>
      </w:pPr>
      <w:r>
        <w:t>Erwägungen</w:t>
      </w:r>
    </w:p>
    <w:p>
      <w:r>
        <w:rPr>
          <w:b/>
        </w:rPr>
        <w:t>E. 12</w:t>
      </w:r>
    </w:p>
    <w:p>
      <w:r>
        <w:t>mai 2025. Selon cette dernière, l’expert neurologue ne mentionnait pas la problématique de la fatigue dans son analyse, laquelle était pourtant une cause incapacitante réelle et la limitation la plus représentée parmi les atteintes classiques dans le contexte d’un syndrome post-commotionnel. La problématique comportementale était également absente des conclusions de l’experte neurologue et était banalisée par l’expert psychiatre, alors qu’elle représentait également un symptôme post-commotionnel persistant. Partant, l’expert retenait à tort que la reprise d’une activité professionnelle était possible. H______ approuvait le fait que la prise en charge neuropsychologique n’était plus nécessaire eu égard aux aspects cognitifs. La prise en charge de la recourante concernait toutefois également la fatigabilité post-TCC ainsi que la gestion des émotions et du comportement, de sorte qu’un suivi mensuel devait être poursuivi. f. Cette écriture a été transmise à l’intimée.</w:t>
      </w:r>
    </w:p>
    <w:p>
      <w:r>
        <w:t>EN DROIT</w:t>
      </w:r>
    </w:p>
    <w:p>
      <w:r>
        <w:t>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Interjeté en temps utile, le recours est recevable (art. 60 al. 1 LPGA).</w:t>
      </w:r>
    </w:p>
    <w:p>
      <w:r>
        <w:t>A/3175/2024 - 15/46 - 2. Au sujet des conclusions prises par la recourante tendant à faire constater que les frais d’annulation du rendez-vous auprès du CEMed ne peuvent pas être mis à sa charge, la chambre de céans relève ce qui suit.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 2.2 En l’occurrence, l’intimée ne s’est pas prononcée, dans ses décisions des</w:t>
      </w:r>
    </w:p>
    <w:p>
      <w:r>
        <w:rPr>
          <w:b/>
        </w:rPr>
        <w:t>E. 17</w:t>
      </w:r>
    </w:p>
    <w:p>
      <w:r>
        <w:t>novembre 2023 et 27 août 2024, sur la question des frais d’annulation du rendez-vous auprès du CEMed, si bien que les conclusions de la recourante à cet égard excèdent l’objet de la contestation. En outre, cette question n’est pas étroitement liée à l’objet du litige au point que l’on pourrait parler d’un état de fait commun. Elle n’a en effet aucune incidence sur les différentes questions qui seront examinées par la chambre de céans dans le présent arrêt. Il n’y a donc pas lieu d’élargir la procédure juridictionnelle à cette question. Partant, les conclusions prises par la recourante visant à faire constater que les frais d’annulation du rendez-vous auprès du CEMed ne peuvent pas être mis à sa charge sont irrecevables. Dans l’hypothèse où l’intimée décide in fine de mettre les frais précités à sa charge, il lui sera loisible de s’opposer à cette décision. 3. Le litige porte sur le droit de la recourante à des prestations de l’assurance-accidents au-delà du 31 octobre 2023. 4.</w:t>
      </w:r>
    </w:p>
    <w:p>
      <w:r>
        <w:t>A/3175/2024 - 16/46 - 4.1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4.2 L'exigence afférente au rapport de causalité naturelle est remplie lorsqu'il y a lieu d'admettre que, sans l'événement dommageable de caractère accidentel, le dommage ne se serait pas produit du tout, ou qu'il ne serait pas survenu de la même manière (ATF 148 V 356 consid. 3 ; 148 V 138 consid. 5.1.1 ; 142 V 435 consid. 1).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w:t>
      </w:r>
    </w:p>
    <w:p>
      <w:r>
        <w:t>A/3175/2024 - 17/46 - clinique typique d'un traumatisme de type « coup du lapin » – apparaissent eux- mêmes dans le délai de 72 heures après l'accident assuré (SVR 2007 UV n. 23 p. 75 ; arrêt du Tribunal fédéral U 580/06 du 30 novembre 2007 consid. 4.1). 4.3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129 V 177 consid. 3.2 et la référence).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2.1 ; 117 V 359 consid. 6 ; 117 V 369 consid. 4 ; 115 V 133 consid. 6 ; 115 V 403 consid. 5 ; arrêt du Tribunal fédéral 8C_559/2023 du 19 février 2024 consid. 3.2). En présence de troubles psychiques apparus après un accident, on examine les critères de la causalité adéquate en excluant les aspects psychiques (ATF 140 V 356 consid. 3.2 ; 134 V 109 consid. 2.1 ; 115 V 133 consid. 6c/aa ; 115 V 403 consid. 5c/aa). En cas de traumatisme de type « coup du lapin » à la colonne cervicale, de traumatisme analogue ou de traumatisme crânio-cérébral sans preuve d'un déficit fonctionnel organique, l'examen se fait en revanche sur la base de critères particuliers n'opérant pas de distinction entre les éléments physiques et psychiques des atteintes, lorsque les symptômes attribuables de manière crédible au tableau clinique typique (maux de tête diffus, vertiges, troubles de la concentration et de la mémoire, nausées, fatigabilité, troubles de la vue, irritabilité, dépression, modification du caractère, etc.)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 Le Tribunal fédéral a toutefois précisé qu'en cas de TCC, un certain degré de sévérité de l'atteinte sous forme d'une contusio cerebri est nécessaire pour justifier l'application de la jurisprudence en cas de traumatisme de type « coup du lapin » à</w:t>
      </w:r>
    </w:p>
    <w:p>
      <w:r>
        <w:t>A/3175/2024 - 18/46 - la colonne cervicale, de traumatisme analogue ou de TCC. En revanche, en présence d'un TCC léger (commotio cerebri), l'examen d'un lien de causalité adéquate s'effectue en application de la jurisprudence en matière de troubles psychiques consécutifs à un accident (arrêt du Tribunal fédéral 8C_565/2022 du 23 mai 2023 consid. 3.2.3 et les références ; sur la distinction médicale entre une commotio cerebri et une contusio cerebri, cf. arrêt du Tribunal fédéral 8C_44/2017 du 19 avril 2017 consid. 4.1).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Dans la mesure où le caractère naturel et le caractère adéquat du lien de causalité doivent être remplis cumulativement pour octroyer des prestation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 4.4 Dans le cas de troubles psychiques additionnels à une atteinte à la santé physique, le caractère adéquat du lien de causalité suppose que l'accident ait eu</w:t>
      </w:r>
    </w:p>
    <w:p>
      <w:r>
        <w:t>A/3175/2024 - 19/46 -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w:t>
      </w:r>
    </w:p>
    <w:p>
      <w:r>
        <w:t>A/3175/2024 - 20/46 -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t>A/3175/2024 - 21/46 - 5.</w:t>
      </w:r>
    </w:p>
    <w:p>
      <w:r>
        <w:t>5.1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5.2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5.3 Sans remettre en cause le principe de la libre appréciation des preuves, le Tribunal fédéral des assurances a posé des lignes directrices en ce qui concerne la manière d'apprécier certains types d'expertises ou de rapports médicaux (ATF 125 V 351 consid. 3b). 5.3.1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5.3.2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w:t>
      </w:r>
    </w:p>
    <w:p>
      <w:r>
        <w:t>A/3175/2024 - 22/46 -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5.3.3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5.3.4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6.</w:t>
      </w:r>
    </w:p>
    <w:p>
      <w:r>
        <w:t>6.1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t>A/3175/2024 - 23/46 - 6.2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6.3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7.</w:t>
      </w:r>
    </w:p>
    <w:p>
      <w:r>
        <w:t>7.1 En l’occurrence, il convient d’examiner, en premier lieu, la valeur probante du rapport d’expertise du CEMed du 24 avril 2023, sur lequel l’intimée s’est fondée pour rendre la décision litigieuse. La chambre de céans constate tout d’abord que ce rapport d’expertise remplit, sur le plan formel, les réquisits jurisprudentiels en matière de valeur probante. Il contient en effet un résumé de l’ensemble des rapports médicaux du dossier, une anamnèse, les plaintes de la recourante et des observations cliniques. Les conclusions des experts sont en outre claires et bien motivées. Chaque expert a également énuméré de façon détaillée les diagnostics retenus et a répondu aux questions qui lui étaient soumises.</w:t>
      </w:r>
    </w:p>
    <w:p>
      <w:r>
        <w:t>A/3175/2024 - 24/46 - 7.1.1 Sur le fond, l’expert orthopédiste a retenu les diagnostics suivants : fracture tear drop C3 non déplacée, fracture C6-C7 ostéosynthésée, fracture de type A1, fracture avec tassement supérieur des vertèbres D1-D2-D3-D4 type A1, fracture non déplacée du condyle fémoral externe droit, rupture du ligament croisé antérieur et rupture interne du genou droit, status après ostéosynthèse C6-C7 par voie postérieure, status après reconstruction ligamentaire du croisé antérieur et réinsertion méniscale, status après libération du nerf saphène interne droit, status après révision intra-articulaire du genou droit à cause d’un phénomène de type Cyclope, discopathie étagée en zone thoracique. Selon l’expert, la recourante souffre encore de douleurs résiduelles du genou droit ainsi que de douleurs musculaires de la nuque et du tronc, lesquelles sont secondaires aux traumatismes vertébraux et du genou. L’expert a également estimé, d’un point de vue orthopédique, que l’état de santé de la recourante était stabilisé depuis le mois de mai 2021, soit six mois après la dernière chirurgie pratiquée au niveau du genou droit. Ces diagnostics, au demeurant non contestés par la recourante, sont conformes aux éléments médicaux ressortant du dossier, notamment au rapport médical établi en date du 3 janvier 2018 par les médecins des HUG. Ils sont en outre cohérents au vu des différentes opérations subies par la recourante. La stabilisation de l’état de santé de la recourante a, quant à elle, été correctement fixée au mois de mai 2021 compte tenu du rapport établi par la Dre K______ en date du 7 septembre 2021, lequel mentionne que le cas est stabilisé d’un point de vue du genou droit. Il convient également de rappeler que les Drs E______ et F______ ont indiqué, dans leur rapport de consultation du 13 novembre 2018, que l’évolution de l’état de santé de la recourante, onze mois après la spondylodèse, était favorable et qu’elle était en mesure de reprendre son travail en tant que caissière à un taux de 100% sur le plan du status post- opératoire cervical. L’expert orthopédiste précise encore que la capacité de travail de la recourante dans son activité de caissière est nulle, mais qu’elle dispose d’une capacité de travail entière dans une activité en position assise, sans port de charges, sans mouvement répété, sans travail au sol, ni en hauteur, avec la possibilité de se lever toutes les heures à une heure et demie. La recourante argue à cet égard que ses limitations ont été sous-évaluées et que, compte tenu des nombreuses limitations fonctionnelles retenues par l’expert, une perte de rendement aurait dû être prise en compte. Cette critique n’est toutefois étayée par aucun élément médical. Au contraire, les constats de l’expert orthopédiste concordent avec l’appréciation de la Dre K______ du 13 décembre 2021. En effet, selon cette dernière, la capacité de travail de la recourante, du point de vue du genou, s’élève à 100% dans un poste adapté aux limitations fonctionnelles suivantes : pas de montées ni</w:t>
      </w:r>
    </w:p>
    <w:p>
      <w:r>
        <w:t>A/3175/2024 - 25/46 - de descentes des escaliers, position assise-debout alternée, pas de port de charge, ni de grand déplacement, pas d’agenouillement. La recourante fait également grief à l’expert orthopédiste d’avoir estimé que ses nombreuses plaintes douloureuses, principalement musculaires, n’étaient pas explicables par les suites des traumatismes, sans préciser de quelles plaintes douloureuses il était question. Cependant, il convient d’observer que l’expert orthopédiste a, d’une part, énuméré les plaintes de la recourante, lesquelles consistent notamment en des douleurs musculaires aux trapèzes et aux avant-bras (cf. rapport d’expertise du 24 avril 2023, p. 24), et, d’autre part, indiqué quelles plaintes subjectives pouvaient être objectivées, à savoir celles relatives au genou droit et au rachis (cf. rapport d’expertise du 24 avril 2023, p. 45). La lecture du rapport d’expertise permet ainsi de comprendre que les douleurs musculaires aux trapèzes et aux avant-bras ne sont pas explicables, selon l’expert, par l’accident subi par la recourante. Enfin, la recourante soutient qu’il ressort des enregistrements de l’expertise que de nombreux éléments déterminants n’ont pas été pris en compte ou correctement retranscrits par les experts. Ses critiques ne sont toutefois pas de nature à remettre en cause la valeur probante du volet orthopédique de l’expertise. En effet, l’expert a indiqué que la recourante pouvait marcher « plus ou moins 15 minutes », ce qui n’est pas contradictoire avec les déclarations de la recourante selon lesquelles elle peut marcher 10 à 15 minutes. Les dysesthésies de la recourante ont, quant à elles, été retranscrites par l’expert. Par ailleurs, le fait que l’expert n’ait pas mentionné que la recourante craignait des lâchages de son genou droit n’est pas de nature à remettre en cause la validité de ses constats. L’expert n’a pas non plus minimisé les douleurs éprouvées par la recourante au moment où cette dernière a tenté de reprendre son ancienne activité, dès lors qu’il a indiqué que celles-ci étaient fortes. Compte tenu de ce qui précède, l’expertise orthopédique doit se voir reconnaître une pleine valeur probante. La chambre de céans renoncera ainsi, par appréciation anticipée des preuves (ATF 140 I 285 consid. 6.3.1), à entendre la Dre K______, dès lors que son dernier rapport médical concorde avec les conclusions de l’expert. 7.1.2 S’agissant du volet neurologique de l’expertise, la recourante ne conteste pas l’unique diagnostic incapacitant retenu par l’expert neurologue, à savoir un TCC léger avec syndrome post-commotionnel. Concernant les troubles neuropsychologiques, l’experte neurologue a estimé que ceux-ci étaient légers, d’allure exécutive et attentionnelle. Selon elle, les séquelles liées au TCC sont guéries depuis le mois de mai 2019, soit à compter du bilan neuropsychologique de contrôle effectué par H______.</w:t>
      </w:r>
    </w:p>
    <w:p>
      <w:r>
        <w:t>A/3175/2024 - 26/46 - D’après la recourante, l’experte retient à tort qu’elle ne présente pas de limitations fonctionnelles sur le plan neurologique. Elle relève que les rapports établis par H______ contredisent cette appréciation, dès lors qu’ils mentionnent qu’elle souffre d’une importante fatigue, de problèmes d’inattention et de nombreux oublis. Dans son rapport du 12 mai 2025, H______ expose que les réponses de l’experte neurologue sont cohérentes sur un plan cognitif, mais que la problématique de la fatigue n’est pas prise en compte dans son analyse, alors qu’elle constitue une cause incapacitante réelle et la limitation la plus représentée parmi les atteintes classiques dans un syndrome post-commotionnel. Elle relève également que la problématique comportementale est absente des conclusions de l’experte neurologue et est banalisée par l’expert psychiatre, alors qu’il s’agit également de symptômes post-commotionnels persistants. Pour les raisons exposées ci-après (cf. infra consid. 6.3), la chambre de céans renoncera à se prononcer sur les critiques formulées par la recourante à l’encontre du volet neurologique de l’expertise du CEMed. En effet, les éventuelles atteintes consécutives au TCC subi par la recourante ne sont pas en lien de causalité adéquate avec l’accident du 9 décembre 2017, de sorte qu’il n’y a pas lieu d’apprécier l’analyse effectuée par l’experte neurologue s’agissant des atteintes neuropsychologiques de la recourante ni de mettre en œuvre un bilan neuropsychologique. Il n’est pas non plus nécessaire d’apprécier la valeur probante du volet psychiatrique de l’expertise de l’expertise du CEMed, dès lors que les éventuels troubles psychiques de la recourante ne sont pas non plus en lien de causalité adéquate avec l’accident du 9 décembre 2017 (cf. infra consid. 6.3). Par conséquent, la chambre de céans renoncera à l’audition du psychiatre traitant et à celle de la neuropsychologue de la recourante. Par ailleurs, il sera renoncé à la mise en œuvre d’une expertise judiciaire, dès lors que le volet orthopédique de l’expertise peut se voir reconnaître une pleine valeur probante et qu’il concorde avec le dernier rapport médical établi par la Dre K______. 7.2 Il convient de rappeler que dans la mesure où le caractère naturel et le caractère adéquat du lien de causalité doivent être remplis cumulativement pour octroyer des prestation d'assurance-accidents, la jurisprudence admet de laisser ouverte la question du rapport de causalité naturelle dans les cas où ce lien de causalité ne peut de toute façon pas être qualifié d'adéquat (ATF 147 V 207 consid. 6.1 et les références). En l’occurrence, l’existence d’un traumatisme crânio-cérébral a été retenue par les experts du CEMed sur la base de l’anamnèse recueillie de façon cohérente auprès de la recourante depuis son accident du 9 décembre 2017 et sur celle du bilan neuropsychologue effectué par cette dernière en septembre 2018. Les experts du CEMed ont qualifié ce TCC de léger, au motif que la recourante n’indiquait pas</w:t>
      </w:r>
    </w:p>
    <w:p>
      <w:r>
        <w:t>A/3175/2024 - 27/46 - avoir subi de perte de connaissance ni une amnésie rétrograde dans le contexte de son accident. Il convient de souligner que ni la recourante ni H______, dans son rapport du 12 mars 2025, ne contestent le caractère léger du TCC. En outre, l’appréciation des experts est confortée par le scanner cérébral effectué après l’accident, lequel ne montre pas de fracture du crâne ni de saignement intracrânien. Au vu de ce qui précède, il y a lieu de retenir que le TCC subi par la recourante n’atteint pas l’intensité minimale requise d’une contusion cérébrale, de sorte que le lien de causalité adéquate entre l’accident du 9 décembre 2017 et les atteintes neuropsychologiques doit être analysé au regard des critères de l’ATF 115 V 133, soit en tenant compte uniquement des troubles physiques. L’analyse du lien de causalité adéquate est donc identique pour les atteintes psychiques et neuropsychologiques. 7.3 7.3.1 Il convient de déterminer la gravité de l’accident survenu le 9 décembre 2017. Ont été qualifiés de gravité moyenne un choc frontal entre deux voitures (arrêt du Tribunal fédéral 8C_354/2011 du 3 février 2012), une chute d'ascenseur sur deux étages (arrêt du Tribunal fédéral U 204/00 du 30 avril 2001), la chute d'un bloc de pierre d'un immeuble en construction sur un ouvrier lui percutant le dos, la jambe et causant un traumatisme crânien (arrêt du Tribunal fédéral U 338/05 du 1er septembre 2006), un piéton renversé par une voiture avec traumatisme crânien (arrêt du Tribunal fédéral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L’accident au cours duquel une assurée a été heurtée frontalement sur un passage piéton par un véhicule roulant à environ 40-50 km/h a été considéré comme étant de gravité moyenne stricto sensu (arrêt du Tribunal fédéral 8C_546/2013 du 24 septembre 2013). In casu, la recourante a été renversée par une voiture alors qu’elle empruntait un passage piéton. Entendue par la police, la conductrice du véhicule a indiqué qu’elle roulait à une vitesse comprise entre 15 et 20 km/h. Le rapport du 3 janvier 2018 établi par les HUG mentionne quant à lui que la vitesse est estimée à 30 km/h. Compte tenu de la jurisprudence précitée, l’accident doit être considéré comme étant de gravité moyenne au sens strict, sans être à la limite des accidents graves.</w:t>
      </w:r>
    </w:p>
    <w:p>
      <w:r>
        <w:t>A/3175/2024 - 28/46 - Par conséquent, trois des critères jurisprudentiels doivent au moins être remplis pour que la causalité adéquate soit admise, un seul étant toutefois suffisant s’il revêt une intensité particulière. 7.3.2 S’agissant du critère des circonstances concomitantes particulièrement dramatiques ou du caractère particulièrement impressionnant de l’accident, la chambre de céans rappelle qu'à tout accident de gravité moyenne est associé un certain caractère impressionnant, lequel ne suffit pas pour admettre l'existence du critère en question (arrêt du Tribunal fédéral 8C_236/2023 du 22 février 2024 consid. 3.4.1 et la référence). En l’occurrence, il ne ressort ni du rapport de police du 27 décembre 2017 ni des déclarations de la recourante que l’accident aurait revêtu un caractère particulièrement impressionnant ou dramatique au sens de la jurisprudence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Ce critère n’est donc pas réalisé. 7.3.3 Pour être retenu, le critère de la gravité ou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arrêt du Tribunal fédéral 8C_235/2020 du 15 février 2021 consid. 4.3.2). La jurisprudence a nié la réalisation de ce critère dans le cas de fractures au niveau du visage (arrêt du Tribunal fédéral 8C_825/2008 du 9 avril 2009 consid. 4.4) ou d’un polytraumatisme (bien que qualifié de grave par les médecins) avec traumatisme thoracique et abdominal et fractures ouvertes de la partie faciale du crâne (arrêt du Tribunal fédéral 8C_197/2009 du</w:t>
      </w:r>
    </w:p>
    <w:p>
      <w:r>
        <w:rPr>
          <w:b/>
        </w:rPr>
        <w:t>E. 19</w:t>
      </w:r>
    </w:p>
    <w:p>
      <w:r>
        <w:t>novembre 2009 consid. 3.6). Dans le cas d’un accident de la voie publique qui s’était soldé par une lésion complexe du membre inférieur droit et une entorse grave du genou gauche, le Tribunal fédéral a estimé, dans un arrêt du 15 février 2021, que même si l’assuré présentait des atteintes relativement importantes à ses membres inférieurs – qui ne lui laissaient pas d’autre choix que de se déplacer à l’aide de deux béquilles, même dans son appartement – ces atteintes ne présentaient pas une nature</w:t>
      </w:r>
    </w:p>
    <w:p>
      <w:r>
        <w:t>A/3175/2024 - 29/46 - particulière au sens de la jurisprudence, ni n’atteignaient le seuil de gravité requis. Elles n’étaient pas non plus comparables aux lésions potentiellement fatales dont il était question dans l’arrêt du Tribunal fédéral 8C_398/2012 du 6 novembre 2020 – rupture de la rate, fissure de l’estomac, hémopneumothorax bilatéral et fracture costale en série (arrêt du Tribunal fédéral 8C_235/2020 du 15 février 2021 consid. 4.3.2 et les références). En l’occurrence, la recourante a présenté, à la suite de son accident, une fracture de type B2 C6-C7 avec fracture de la facette articulaire supérieure gauche de C7, une fracture tear drop de C3, une fracture A1 de C7 à D4, une rupture complète de la portion proximale du ligament croisé antérieur (LCA), une rupture complète de la portion proximale du ligament collatéral médial et un syndrome du tunnel carpien post-traumatique. Un TCC léger a également été diagnostiqué ultérieurement. Sans minimiser les atteintes précitées, qui revêtent une certaine importance, celles-ci ne sont pas de nature à atteindre la gravité requise par la jurisprudence. En effet, l’atteinte au genou droit de la recourante a entraîné pour elle des séquelles moins graves que celles dont il est question dans l’arrêt précité (cf. arrêt du Tribunal fédéral 8C_235/2020 du 15 février 2021). En outre, le TCC qu’elle a subi a été qualifié de léger. Les atteintes au niveau du rachis ne revêtent, quant à elles, pas une nature particulière au sens de la jurisprudence ni n'atteignent le seuil de gravité requis, étant rappelé que le pronostic vital de la recourante n’a pas été engagé et qu’elle n’a pas subi d’atteinte à ses organes vitaux. Ce critère n'est ainsi par réalisé. 7.3.4 Pour l'examen du critère de la durée anormalement longue du traitement médical, il faut uniquement prendre en compte le traitement thérapeutique nécessaire (arrêt du Tribunal fédéral des assurances U.369/05 du</w:t>
      </w:r>
    </w:p>
    <w:p>
      <w:r>
        <w:rPr>
          <w:b/>
        </w:rPr>
        <w:t>E. 23</w:t>
      </w:r>
    </w:p>
    <w:p>
      <w:r>
        <w:t>novembre 2006 consid. 8.3.1). N'en font pas partie les mesures d'instruction médicale et les simples contrôles chez le médecin (arrêt du Tribunal fédéral des assurances U. 393/05 du 27 avril 2006 consid. 8.2.4). En outre, l'aspect temporel n'est pas seul décisif ; sont également à prendre en considération la nature et l'intensité du traitement, et si l'on peut en attendre une amélioration de l'état de santé de l'assuré (arrêts du Tribunal fédéral 8C_361/2007 du 6 décembre 2007 consid. 5.3 ; U.92/06 du 4 avril 2007 consid. 4.5 et les références). La prise de médicaments antalgiques et la prescription de traitements par manipulations même pendant une certaine durée ne suffisent pas à fonder ce critère (arrêts du Tribunal fédéral 8C_361/2007 consid. 5.3 ; U.380/04 du 15 mars 2004 consid. 5.2.4 in RAMA 2005 n. U 549 p. 239). La jurisprudence a notamment nié que ce critère était rempli dans le cas d'un assuré dont le traitement médical du membre supérieur accidenté avait consisté en plusieurs opérations chirurgicales et duré dix-huit mois (arrêt du Tribunal fédéral des assurances U.37/06 du 22 février 2007 consid. 7.3). La jurisprudence a</w:t>
      </w:r>
    </w:p>
    <w:p>
      <w:r>
        <w:t>A/3175/2024 - 30/46 - également nié que ce critère était réalisé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(arrêt du Tribunal fédéral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 l'assuré avait en outre séjourné dans une clinique de réadaptation pendant un peu plus d'un mois pour une évaluation multidisciplinaire et professionnelle (arrêt du Tribunal fédéral 8C_766/2017 du 30 juillet 2018 consid. 6.3.2). Le critère a également été admis dans le cas d'une longue et pénible convalescence sur une période de vingt-et-un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(arrêt du Tribunal fédéral 8C_818/2015 du 15 novembre 2016 consid. 6.2). Il a enfin été admis dans le cas d'une hospitalisation de sept mois après l'accident, dont deux mois de transferts « lit-fauteuil » pour garantir l'absence de charge sur les deux membres inférieurs, l'assuré s'étant au surplus soumis à deux opérations chirurgicales d'ostéosynthèse au niveau du bassin, à une opération d'ablation du matériel d'ostéosynthèse, suivie d'une nouvelle hospitalisation de trois semaines, puis à une nouvelle hospitalisation de près d'un mois en raison de l'exacerbation des douleurs au niveau du bassin et enfin à une évaluation multidisciplinaire durant deux semaines. Au titre d'interventions figuraient également une urétrographie-cystoscopie sous narcose et des perfusions de xylocaïne et de kétamine (ATF 148 V 138 consid. 5.3.2). En l’occurrence, la recourante a subi une spondylodèse et une allogreffe osseuse en date du 13 décembre 2017. Dans ce contexte, elle a été hospitalisée aux HUG du 9 au 25 décembre 2017, avant d’être transférée à l’hôpital de Beau-Séjour le</w:t>
      </w:r>
    </w:p>
    <w:p>
      <w:r>
        <w:rPr>
          <w:b/>
        </w:rPr>
        <w:t>E. 26</w:t>
      </w:r>
    </w:p>
    <w:p>
      <w:r>
        <w:t>décembre 2017 à des fins de rééducation. Elle a pu regagner son domicile le 15 janvier suivant. La recourante a ensuite subi, en date du 11 juillet 2018, une arthroscopie du genou droit, une plastie LCA par tendon quadricipital, une suture du ménisque interne par deux Fastfix, une suture du ménisque externe pré-hiatal par un Fastfix et une rétention du ligament postéro-oblique interne, ce qui l’a obligée à être hospitalisée du 11 au 14 juillet 2018. Le 12 mai 2020, la recourante a bénéficié d’une neurolyse du nerf saphène droit au niveau du genou et d’une reprise cicatricielle au CHUV, avant de subir une nouvelle opération du genou droit en date du 21 octobre 2020 par la</w:t>
      </w:r>
    </w:p>
    <w:p>
      <w:r>
        <w:t>A/3175/2024 - 31/46 - Dre K______, qui a pratiqué une arthroscopie du genou droit avec libération d’un conflit antérieur occasionné par un fragment osseux au pied de la plastie du LCA et plastie de l’échancrure. La recourante a été hospitalisée jusqu’au 23 octobre 2020 à cette occasion. Compte tenu de ce qui précède, il appert que la recourante a subi quatre interventions chirurgicales entre le mois de décembre 2017 et le mois d’octobre 2020, soit en moins de trois ans. Bien qu’elle ait été hospitalisée pendant deux semaines à la suite de son accident, puis bénéficié d’une rééducation de trois semaines au sein de l’hôpital Beau-Séjour, il appert que la recourante a été tenue loin de chez elle bien moins longtemps que les assurés au sujet desquels le Tribunal fédéral a considéré que la durée des soins avait été anormalement longue. En outre, hormis les opérations précitées, l’essentiel du traitement de la recourante a consisté en des mesures conservatrices telles que la prise d’antalgiques, dans un contexte post-opératoire, et la physiothérapie. Par conséquent, ce critère n’est pas réalisé. 7.3.5 Concernant les douleurs physiques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entraînent dans la vie quotidienne (ATF 134 V 109 consid. 10.2.4) L’intimée a considéré, dans sa décision du 17 novembre 2023, que ce critère n’était pas rempli au motif que les lésions seraient guéries. Or, l’expert orthopédiste a retenu la présence de douleurs rachidiennes permanentes plus au moins intenses, en précisant, dans le complément d’expertise du 13 septembre 2023, que les douleurs résiduelles de la recourante étaient constantes à un niveau 2, avec des pics plus importants jusqu’à 6 – 7, voire 8. Selon l’expert, ces douleurs sont en outre suffisamment persistantes pour justifier, avec la spondylodèse, l’octroi d’une IPAI. Enfin, il ressort du rapport d’expertise du CEMed que la recourante éprouve des douleurs rachidiennes depuis l’accident. Par conséquent, il y a lieu de retenir que ce critère est réalisé. 7.3.6 Le dossier ne fait mention d’aucune erreur médicale. 7.3.7 En ce qui concerne les difficultés apparues au cours de la guérison et les complications importantes, il doit exister, pour admettre ce critère, des motifs particuliers ayant entravé ou ralenti la guérison, et ce même s'il n'a pas été possible de supprimer les douleurs de l'intéressé, ni même de rétablir une capacité de travail entière (arrêt du Tribunal fédéral 8C_235/2020 du 15 février 2021 consid. 4.3.4).</w:t>
      </w:r>
    </w:p>
    <w:p>
      <w:r>
        <w:t>A/3175/2024 - 32/46 - En l’occurrence, le dossier ne fait pas mention de difficultés particulières ou de complications importantes dans le processus de guérison. De surcroît, les différentes rapports post-opératoires figurant au dossier témoignent que l’évolution de l’état de santé de la recourante était favorable, ce quelle que soit l’opération concernée. Ce critère n’est donc pas réalisé. 7.3.8 Enfin, il n’est pas nécessaire de déterminer si le critère relatif au degré et à la durée de l'incapacité de travail due aux lésions physiques est réalisé. En effet, même si tel était le cas, seuls deux critères seraient remplis en l'espèce, ce qui ne suffirait de toute façon pas pour reconnaître un lien de causalité adéquate entre les troubles psychiques et neuropsychologiques de la recourante et son accident du 9 décembre 2017, ce d’autant plus que ces deux critères ne se sont pas manifestés d'une manière particulièrement marquante. Partant, c’est à raison que l’intimée a considéré qu’il n’existait pas de lien de causalité adéquate entre l’accident et les atteintes psychiques, respectivement neuropsychologiques, au moment de la stabilisation de l’état de santé physique de la recourante. Compte tenu de ce qui précède, la détermination de la capacité de travail de la recourante, telle qu’effectuée par l’intimée, doit être confirmée, à savoir une capacité de travail nulle dans son ancienne activité de caissière depuis l’accident et une capacité de travail entière dans une activité adaptée à ses limitations fonctionnelles orthopédiques depuis le mois de mai 2021. 8. L'état de santé étant considéré comme stabilisé et la capacité de travail résiduelle de la recourante ayant été déterminée de manière probante par l'intimée, il s'agit d'examiner, ci-après, le calcul du droit à la rente d'invalidité effectué par l'intimée et le taux d’IPAI retenu. 8.1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Si l’assuré est invalide (art. 8 LPGA) à 10 % au moins par suite d’un accident, il a droit à une rente d’invalidité, pour autant que l’accident soit survenu avant l’âge ordinaire de la retraite (art. 18 al. 1 LAA).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w:t>
      </w:r>
    </w:p>
    <w:p>
      <w:r>
        <w:t>A/3175/2024 - 33/46 - à la santé sont prises en compte pour juger de la présence d’une incapacité de gain ; de plus, il n’y a incapacité de gain que si celle-ci n’est pas objectivement surmontable (al. 2). 8.2 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8C_642/2023 du 20 mars 2024 consid. 3.1.1 et la référence).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144 V 354 consid. 4.1 ; 143 V 148 consid. 3.1.1 ; 134 V 109 consid. 4.1 et les références). 8.3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1e phr., LPGA). En cas d’incapacité de travail de longue durée, l’activité qui peut être exigée de lui peut aussi relever d’une autre profession ou d’un autre domaine d’activité (art. 6, 2e phr., LPGA). À cet égard, la jurisprudence considère qu'un délai doit être imparti à l'intéressé pour rechercher une activité raisonnablement exigible dans une autre profession ou un</w:t>
      </w:r>
    </w:p>
    <w:p>
      <w:r>
        <w:t>A/3175/2024 - 34/46 - autre domaine. La durée de ce délai doit être appréciée selon les circonstances du cas particulier ;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(exprimée à l'art. 6, 2e phr.,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2e phr.,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 8.4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w:t>
      </w:r>
    </w:p>
    <w:p>
      <w:r>
        <w:t>A/3175/2024 - 35/46 - décision est rendue doivent être prises en compte (ATF 129 V 222 consid. 4.1 et les références). 8.5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Dans le domaine de l’assurance-accidents, le revenu sans invalidité doit être établi sans égard au fait que l'assuré mettait à profit entièrement, ou en partie seulement, sa capacité de travail avant l'accident. Il faut, autrement dit, rechercher quelles sont les possibilités de gain d'un assuré censé les utiliser pleinement (ATF 119 V 475 consid. 2b et les références ; arrêt du Tribunal fédéral 8C_664/2007 du 14 avril 2008 consid. 7.2.2 à 7.2.5 et les références). 8.6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w:t>
      </w:r>
    </w:p>
    <w:p>
      <w:r>
        <w:t>A/3175/2024 - 36/46 - de l'ESS (ATF 148 V 174 consid. 6.2 et les références ;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w:t>
      </w:r>
    </w:p>
    <w:p>
      <w:r>
        <w:rPr>
          <w:b/>
        </w:rPr>
        <w:t>E. 30</w:t>
      </w:r>
    </w:p>
    <w:p>
      <w:r>
        <w:t>juin 2023, l’ancien employeur de la recourante a indiqué à l’intimée que celle-là n’avait pas bénéficié d’une augmentation de salaire de 2018 à 2020 et qu’il ne pouvait pas apporter à l’intimé de précisions quant à une augmentation de salaire ultérieure dans la mesure où elle dépendait de nombreux éléments, tels que la masse salariale et la qualité du travail de la recourante. L’ancien employeur de la recourante a toutefois également indiqué à cette dernière, en complétant le courrier du 2 avril 2021 qui lui était adressé, que son salaire mensuel brut se serait</w:t>
      </w:r>
    </w:p>
    <w:p>
      <w:r>
        <w:t>A/3175/2024 - 42/46 - élevé à CHF 4'298.- en 2021, soit un salaire annuel de CHF 55'874.- (13 x 4'298). Il appert que les renseignements fournis par l’ancien employeur de la recourante à l’intimée ne sont pas satisfaisants dans la mesure où il s’est contenté de mentionner, s’agissant de la période courant de 2018 à 2020, que le salaire de la recourante n’avait pas augmenté. Or, cette dernière s’est trouvée en incapacité de travail totale à compter de son accident, ce qui est susceptible d’expliquer que son salaire n’ait pas évolué. Son ancien employeur n’a du reste pas indiqué, dans ce contexte, comment son salaire aurait évolué sans les atteintes à la santé consécutives à son accident. Il convient donc de se référer aux renseignements communiqués par l’ancien employeur à la recourante en 2021 et de retenir que son salaire se serait élevé à CHF 55'874.- en 2021. 10.3 La recourante ne conteste pas, en tant que tel, le revenu avec invalidité retenu par l’intimée, mais uniquement le taux de sa capacité de travail résiduelle, lequel a déjà été examiné par la chambre de céans (cf. supra consid. 6.1.1). Au vu de la situation de la recourante, l’intimée était en tout état de cause fondée à se référer aux valeurs statistiques de la table ESS TA1, à la ligne « total » de ce tableau. Compte tenu de l’activité de substitution raisonnablement exigible de la part de la recourante dans un emploi adapté à son état de santé, le salaire de référence est bien celui auquel peuvent prétendre les femmes effectuant une activité simple et répétitive (niveau de qualification 1) dans le secteur privé, à savoir CHF 51'312.- (CHF 4'276.- x 12 ; ESS 2020, TA1, tirage skill-level, ligne « total »). Comme les salaires bruts standardisés tiennent compte d'un horaire de quarante heures, soit d'une durée hebdomadaire de travail inférieure à la moyenne usuelle dans les entreprises en 2021 (41.7 heures par semaine ; Office fédéral de la statistique - statistique de la durée normale du travail dans les entreprises, DNT), ce montant doit être porté à CHF 53'492.76 (CHF 51'312 x 41.7 / 40). Il convient encore d’indexer ce montant à l’année 2021, année déterminante pour la comparaison des revenus. Selon le tableau publié par l'OFS le 22 avril 2025, les salaires nominaux des femmes ont augmenté de 0.6% en 2021, si bien que le revenu avec invalidité s’élève à CHF 53'813.72 en 2021 ([0.6% x 53'492.76] + 53'492.76). 10.4 Il reste à déterminer si l’intimée a appliqué à raison une diminution de rendement de 5% sur le revenu avec invalidité de la recourante. Concernant l'abattement pour les limitations fonctionnelles, on rappellera qu'une réduction au titre du handicap dépend de la nature des limitations fonctionnelles présentées et n'entre en considération que si, sur un marché du travail équilibré, il</w:t>
      </w:r>
    </w:p>
    <w:p>
      <w:r>
        <w:t>A/3175/2024 - 43/46 - n'y a plus un éventail suffisamment large d'activités accessibles à l'assuré (ATF 148 V 419 consid. 6 et les références). En l’occurrence, les limitations fonctionnelles de la recourante, à savoir une activité assise sans port de charges, sans mouvement répété, sans travail au sol, ni en hauteur, avec possibilité de se lever toutes les heures / heures et demie, ne paraissent pas être de nature à l’empêcher d’exercer l’une des activités physiques ou manuelles simples que recouvrent les secteurs de la production et des services selon l'ESS 2020 (tableau TA1_skill_level et niveau de compétences 1). Un nombre suffisant d'entre elles correspondent à des travaux légers respectant les limitations fonctionnelles de la recourante, de sorte que l’intimée était fondée à retenir un taux d’abattement de 5% sur le salaire statistique. Par ailleurs, il n’y a pas lieu de tenir compte de circonstances étrangères à l'invalidité. En effet, l’absence de formation suisse de la recourante n’est pas déterminante dans la mesure où l’intimée s’est fondée sur un niveau de compétences 1 correspondant à des tâches physiques ou manuelles simples et ne nécessitant aucune formation ni expérience professionnelle spécifique (arrêt du Tribunal fédéral 8C_90/2024 du 5 août 2024 consid. 5.4). La recourante est en outre au bénéfice d’un permis d’établissement et établie en Suisse depuis l’an 2000 (arrêt du Tribunal fédéral 8C_682/2023 du 24 avril 2024 consid. 4.3.2 et les références). Dès lors, en tenant compte d'un abattement de 5%, le revenu avec invalidité s'élève à CHF 51'123.03 [53'813.72 – (53'813.72 x 5%)]. L’invalidité de la recourante peut ainsi être calculée comme suit : - (55'874 – 51'123.03) / 55'874 = 8.5%. Ce taux d’invalidité doit être arrondi à 9% (cf. ATF 130 V 121 consid. 3.2). Dans la mesure où il est inférieur à 10%, la recourante n’a pas droit à une rente d’invalidité. Elle n’a plus non plus droit à la prise en charge de ses frais de traitement par l’intimée à compter du mois de mai 2021, étant rappelé que l’intimée a renoncé à exiger le remboursement des prestations versées depuis lors. 10.5 La recourante conteste également le taux d’IPAI de 12% retenu par l’intimée, au motif qu’il ne tient pas compte de l’ensemble de ses séquelles, notamment celles du genou. Il appert que l’intimée s’est fondée sur l’avis de son expert orthopédiste pour retenir un taux d’IPAI de 12%. 10.5.1 S’agissant du genou, l’expert orthopédiste a indiqué qu’une petite instabilité résiduelle subsistait à quelques degrés de flexion du genou, qui était par ailleurs stable en antéro-postérieur et en stabilité rotatoire, sans signes méniscaux, ni amyotrophie, de sorte que le résultat global était satisfaisant. Dans son</w:t>
      </w:r>
    </w:p>
    <w:p>
      <w:r>
        <w:t>A/3175/2024 - 44/46 - complément d’expertise du 13 septembre 2023, l’expert orthopédiste a précisé qu’au vu de l’état du genou de la recourante, une prise en charge au titre d’atteinte à l’intégrité n’était pas requise. La recourante ne se réfère à aucun élément médical concret permettant de mettre en doute l’appréciation de l’expert orthopédiste, laquelle revêt une pleine valeur probante. Compte tenu des constats de l’expert orthopédiste, il y a lieu de retenir que l’atteinte au genou droit de la recourante ne constitue pas une altération suffisamment grave pour être prise en compte dans l’évaluation de l’IPAI. 10.5.2 Reste à examiner si l’expert orthopédiste a correctement évalué l’IPAI s’agissant de l’atteinte rachidienne. Dans son complément d’expertise du 13 septembre 2023, l’expert a expliqué sur quel fondement il retenait un taux d’IPAI de 12%. Selon lui, 10% étaient justifiés par la spondylodèse subie par la recourante. En raison des douleurs permanentes éprouvées par la recourante, le taux aurait pu être augmenté jusqu’à 25%, voire 30%. Cependant, dans la mesure où certaines des douleurs étaient de nature thoracique, l’expert a retenu un taux de 12%, en ne prenant en considération que les douleurs cervicales et cervico-thoraciques. L’analyse de l’expert, si elle semble convaincante d’un point de vue médical, doit toutefois être revue sous l’angle juridique. Dans le rapport d’expertise du 24 avril 2023, l’expert orthopédiste estime que la recourante aurait pu souffrir, même sans accident, de douleurs thoraciques et de gênes rachidiennes en raison des discopathies étagées découvertes lors du bilan traumatique, lesquelles sont, selon l’expert, préexistantes à l’accident du 9 décembre 2017. Dans son complément d’expertise du 13 septembre 2023, l’expert précise que les douleurs rachidiennes de la recourante sont principalement situées au niveau cervical et cervico-thoraciques, soit à l’endroit des lésions traumatiques, et non pas au niveau de l’apex thoracique ou sous-jacent, où sont localisées les lésions dégénératives. Compte tenu de ce qui précède, l’intimée n’est pas fondée à réduire l’IPAI au motif que les douleurs thoraciques de la recourante ne sont pas consécutives à l’accident. En effet, l’IPAI ne peut être réduite, à teneur de l’art. 36 al. 2 LAA, que lorsque l'accident et l'événement non assuré ont causé conjointement une atteinte à la santé et si les troubles résultant des facteurs assurés et non assurés coïncident. Cette disposition n’est toutefois pas applicable lorsque l’accident et l’évènement non assuré concernent des parties du corps différentes et qu'ainsi les troubles ne coïncident pas. Dans la mesure où la recourante éprouve deux types de douleurs rachidiennes, localisées dans deux zones distinctes et d’origines différentes, les conséquences de l'accident assuré, à savoir les douleurs de la zone cervicale et</w:t>
      </w:r>
    </w:p>
    <w:p>
      <w:r>
        <w:t>A/3175/2024 - 45/46 - cervico-thoracique, sont à évaluer pour elles-mêmes, sans opérer une réduction en tenant compte des lésions dues à l’atteinte antérieure à l’accident, qui sont localisées dans la zone de l’apex thoracique. À cet égard, il ressort de la Table 7 de la SUVA, intitulée « atteinte à l’intégrité dans les affections de colonne vertébrale », qu’en cas de fractures cervicales, y compris pour une spondylodèse, le taux d’atteinte à l’intégrité est compris entre 20 et 30% pour des douleurs permanentes plus ou moins intenses et pour une cyphose d’un degré supérieur à 21%, étant précisé que le degré de la cyphose de la recourante est de 28% à teneur du rapport d’expertise du CEMed. Par conséquent, il y a lieu de fixer l’IPAI à 25%, soit la valeur moyenne entre 20 et 30% de la Table SUVA. La décision sera ainsi réformée sur ce point. 10.6 Enfin, bien que la recourante n’ait pas renouvelé cet argument dans le cadre de son recours, elle a fait valoir, à l’appui de son opposition du 18 décembre 2023, que l’intimée aurait dû lui accorder un délai de trois mois pour lui donner le temps de trouver une nouvelle activité et poursuivre le versement des indemnités journalières pendant cette période-là, soit jusqu’au 31 janvier 2024. Contrairement à ce que soutient la recourante, qui se réfère à la jurisprudence rendue en lien avec l’art. 6, 2e phr., LPGA, l’intimée n’était pas tenue de poursuivre le versement des indemnités journalières postérieurement au</w:t>
      </w:r>
    </w:p>
    <w:p>
      <w:r>
        <w:rPr>
          <w:b/>
        </w:rPr>
        <w:t>E. 31</w:t>
      </w:r>
    </w:p>
    <w:p>
      <w:r>
        <w:t>octobre 2023 dans la mesure où cette jurisprudence ne concerne que l’indemnité journalière et n’est pas transposable au domaine des rentes pour lesquelles le droit prend naissance selon d’autres conditions prévus par les lois spéciales, comme l’art. 19 LAA en matière d’assurance-accidents. Dans la situation de la recourante, le droit à l’indemnité a cessé en raison de la stabilisation de son état de santé, de sorte qu’elle ne peut pas prétendre à un délai de reconversion. 11.</w:t>
      </w:r>
    </w:p>
    <w:p>
      <w:r>
        <w:t>11.1 Compte tenu de ce qui précède, le recours est partiellement admis et la décision litigieuse réformée en ce sens que la recourante a droit à une IPAI de 25%. 11.2 La recourante obtenant partiellement gain de cause, une indemnité de CHF 1'500.- lui sera accordée au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A/3175/2024 - 46/46 -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