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ATAS/628/2008 vom 28. Mai 2008</w:t>
      </w:r>
    </w:p>
    <w:p>
      <w:r>
        <w:t>GE Cour de justice, 2008-05-28, FR</w:t>
      </w:r>
    </w:p>
    <w:p>
      <w:r>
        <w:rPr>
          <w:b/>
        </w:rPr>
        <w:t xml:space="preserve">Quelle: </w:t>
      </w:r>
      <w:r>
        <w:t>https://mcp.opencaselaw.ch/entscheid/ge_gerichte_ATAS_628_2008</w:t>
      </w:r>
    </w:p>
    <w:p>
      <w:r>
        <w:t>FR: GE_GERICHTE ATAS/628/2008 du 28 mai 2008</w:t>
      </w:r>
    </w:p>
    <w:p>
      <w:r>
        <w:t>IT: GE_GERICHTE ATAS/628/2008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Conformément à l'art. 89B de la loi sur la procédure administrative du 12 septembre 1985 (LPA), le recours, signé, est adressé au Tribunal cantonal des assurances sociales en deux exemplaires et doit comporter un exposé succinct des faits ou des motifs invoqués ainsi que des conclusions. En l'espèce, par courrier du 13 juillet 2007, l'assuré déclare faire recours contre la décision de l'intimé lui octroyant une demi-rente d'invalidité. Il rappelle qu'il a patienté durant quatre ans avant d'obtenir une décision, qu'il n'a été examiné qu'à une seule reprise par un médecin interne et qu'il souhaitait qu'un autre médecin l'examine, comme il l'avait déjà demandé. Il soutient qu'avec toutes ses maladies, il a un traitement lourd, qu'il est très fatigué et faible, qu'il va bientôt suivre un traitement supplémentaire contre l'hépatite C. Bien que les conclusions du recourant - agissant en personne - ne soient pas très bien formulées, l'on peut néanmoins constater qu'il a manifesté clairement son désaccord avec la décision de l'intimé lui octroyant une demi-rente d'invalidité. Le Tribunal de céans considère dès lors que le recours est suffisamment motivé au regard des exigences de forme de l'art. 89B LPA. Interjeté par ailleurs dans le délai de trente jours dès la notification de la décision litigieuse, le recours est recevable (art. 56 et 60 LPGA).</w:t>
      </w:r>
    </w:p>
    <w:p>
      <w:r>
        <w:t>A/2796/2007 - 6/9 -</w:t>
      </w:r>
    </w:p>
    <w:p>
      <w:r>
        <w:rPr>
          <w:b/>
        </w:rPr>
        <w:t>E. 4</w:t>
      </w:r>
    </w:p>
    <w:p>
      <w:r>
        <w:t>L'objet du litige consiste à déterminer si c'est à bon droit que l'intimé a retenu - au regard des atteintes à la santé que présente le recourant - un degré d'invalidité de 50 % ouvrant droit à une demi-rente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L'invalidité est réputée survenue dès qu'elle est, par sa nature et sa gravité, propre à ouvrir droit aux prestations entrant en considération (art 4 al. 2 LAI).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Il convient de rappeler que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 même capable de fournir depuis le début de son incapacité de travail, ceci pour</w:t>
      </w:r>
    </w:p>
    <w:p>
      <w:r>
        <w:t>A/2796/2007 - 7/9 -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il résulte du dossier médical qu'en raison de ses atteintes à la santé et surtout depuis l'instauration de la trithérapie qui engendre - entre autres effets secondaires - une asthénie intense, le recourant a été en incapacité de travail totale du 22 avril 2002 au 10 juin 2002, du 27 septembre 2002 à une date inconnue, puis à nouveau dès le 1er mai.2003 selon le médecin du service de médecine des HUG. Dans l'annexe au rapport médical daté du 9 mars 2004, ce médecin précise que le recourant ne travaille plus depuis trois ans et que la capacité de travail est nulle dans toute activité. Dans son rapport d’expertise, le Dr L_________ considère qu’actuellement, du point de vue somatique, la capacité de travail est de 50 % dans une activité d’aide- infirmier ou dans une activité adaptée. Les limitations fonctionnelles du recourant consistent en une incapacité à soutenir un effort durable, à porter des charges à répétition et à assurer un horaire de travail régulier. C’est surtout l’asthénie qui est handicapante. L'assuré refuse en l'état un traitement de l'hépatite C par peginterféron alfa 2a avec ribavirine, car il craint les effets secondaires qui viendraient s'ajouter à ceux de la trithérapie. En outre, selon l'expert, le patient présente probablement des troubles cognitifs, sous forme d'un trouble de la personnalité, sur lequel il ne s'est pas prononcé, dès lors que l'identification d'un tel trouble sort du champ de ses compétences. Il mentionne que d'après la Dresse N_________ des HUG, avec laquelle il s'est entretenue, l'essentiel de l'incapacité de travail résulte des troubles de la personnalité. A la demande du Tribunal, le Dr</w:t>
      </w:r>
    </w:p>
    <w:p>
      <w:r>
        <w:t>A/2796/2007 - 8/9 - L_________ a expliqué qu'il n'a pas pu trouver, sur le plan somatique, d'histoire médicale laissant supposer une totale incapacité de travail, en l'absence de complications cliniques ou biologiques significatives résultant des infections virales ou de leur traitement. En revanche, si l'assuré acceptait de se soumettre à un traitement de l'hépatite C chronique, une totale incapacité de travail durant 48 semaines serait justifiée. Il a donc évalué la capacité de travail à 50 % uniquement sur la base des affections somatiques, à savoir une fatigue chronique pouvant être associée à l'hépatite C chronique et à l'infection HIV ainsi qu'à ses traitements.</w:t>
      </w:r>
    </w:p>
    <w:p>
      <w:r>
        <w:t>L'expertise psychiatrique réalisée par le Dr. M_________ a mis en évidence des problèmes de comportement et des traits de personnalité anxieuse, mais pas de pathologie psychiatrique invalidante. En revanche, il n'a pas constaté de trouble de l'attention, de la compréhension ou de la concentration, ni de trouble formel de la pensée. L'humeur n'est pas dépressive, il n'y a pas de ralentissement psychomoteur. Les diagnostics retenus, à savoir une personnalité anxieuse, les troubles de l'adaptation. les troubles mentaux et du comportement liés à l'utilisation du cannabis sont sans répercussion sur la capacité de travail. L'expert précise que le recourant n'est pas suivi par un psychiatre et qu'il ne prend pas de médicaments psychotropes. L'expertise du Dr M_________ repose sur l'étude du dossier de l'assuré, il comporte un anamnèse complète et détaillée et un status clinique. L'expert a pris en compte les plaintes du recourant, ses conclusions sont claires et motivées. Au demeurant, le recourant ne produit aucun avis contraire émanant d'un spécialiste en psychiatrie Le Tribunal de céans constate que le rapport d'expertise remplit tous les réquisits permettant de lui attribuer pleine valeur probante, de sorte qu'il n'a aucun motif de s'écarter de ses conclusions.</w:t>
      </w:r>
    </w:p>
    <w:p>
      <w:r>
        <w:t>Au vu de ce qui précède, il convient de retenir que le recourant présente une incapacité de travail de 50 % dans toute activité, ouvrant droit à une demi-rente d'invalidité depuis le mois de septembre 2003.</w:t>
      </w:r>
    </w:p>
    <w:p>
      <w:r>
        <w:t>Il incombera au recourant, au cas où le traitement de l'hépatite C serait administré, d'en informer l'OCAI et de déposer une demande de révision.</w:t>
      </w:r>
    </w:p>
    <w:p>
      <w:r>
        <w:rPr>
          <w:b/>
        </w:rPr>
        <w:t>E. 8</w:t>
      </w:r>
    </w:p>
    <w:p>
      <w:r>
        <w:t>Mal fondé, le recours est rejeté.</w:t>
      </w:r>
    </w:p>
    <w:p>
      <w:r>
        <w:rPr>
          <w:b/>
        </w:rPr>
        <w:t>E. 9</w:t>
      </w:r>
    </w:p>
    <w:p>
      <w:r>
        <w:t>Au vu de l'issue du recours, un émolument de 200 fr. est mis à la charge du recourant, qui succombe (art. 69 al. 1bis LAI).</w:t>
      </w:r>
    </w:p>
    <w:p>
      <w:r>
        <w:t>A/2796/2007 - 9/9 -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