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ATAS/627/2025 vom 22. August 2025</w:t>
      </w:r>
    </w:p>
    <w:p>
      <w:r>
        <w:t>GE Cour de justice, 2025-08-22, FR</w:t>
      </w:r>
    </w:p>
    <w:p>
      <w:r>
        <w:rPr>
          <w:b/>
        </w:rPr>
        <w:t xml:space="preserve">Quelle: </w:t>
      </w:r>
      <w:r>
        <w:t>https://mcp.opencaselaw.ch/entscheid/ge_gerichte_ATAS_627_2025</w:t>
      </w:r>
    </w:p>
    <w:p>
      <w:r>
        <w:t>FR: GE_GERICHTE ATAS/627/2025 du 22 août 2025</w:t>
      </w:r>
    </w:p>
    <w:p>
      <w:r>
        <w:t>IT: GE_GERICHTE ATAS/627/2025 del 22 agosto 2025</w:t>
      </w:r>
    </w:p>
    <w:p>
      <w:pPr>
        <w:pStyle w:val="Heading2"/>
      </w:pPr>
      <w:r>
        <w:t>Erwägungen</w:t>
      </w:r>
    </w:p>
    <w:p>
      <w:r>
        <w:rPr>
          <w:b/>
        </w:rPr>
        <w:t>E. 1</w:t>
      </w:r>
    </w:p>
    <w:p>
      <w:r>
        <w:t>A/1228/2025 - 7/14 -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À teneur de l'art. 1 al. 1 LAI, les dispositions de la LPGA s'appliquent à l'assurance-invalidité, à moins que la loi n'y déroge expressément.</w:t>
      </w:r>
    </w:p>
    <w:p>
      <w:r>
        <w:rPr>
          <w:b/>
        </w:rPr>
        <w:t>E. 2.1</w:t>
      </w:r>
    </w:p>
    <w:p>
      <w:r>
        <w:t>Le 1er janvier 2022, les modifications de la LAI du 19 juin 2020 (développement continu de l’AI ; RO 2021 705) ainsi que celles du</w:t>
      </w:r>
    </w:p>
    <w:p>
      <w:r>
        <w:rPr>
          <w:b/>
        </w:rPr>
        <w:t>E. 2.2</w:t>
      </w:r>
    </w:p>
    <w:p>
      <w:r>
        <w:t>En l’occurrence, le droit à la rente du recourant est né le 1er février 2023, soit six mois après le dépôt de la demande de prestations du 5 août 2022 (cf. art. 29 al. 1 LAI), de sorte que les dispositions légales seront citées dans leur nouvelle teneur.</w:t>
      </w:r>
    </w:p>
    <w:p>
      <w:r>
        <w:rPr>
          <w:b/>
        </w:rPr>
        <w:t>E. 3</w:t>
      </w:r>
    </w:p>
    <w:p>
      <w:r>
        <w:t>Le litige porte sur le droit du recourant à l’octroi d’une rente d’invalidité à compter du 1er octobre 2024, une rente entière lui ayant été allouée du 1er février 2023 jusqu'au 30 septembre 2024.</w:t>
      </w:r>
    </w:p>
    <w:p>
      <w:r>
        <w:rPr>
          <w:b/>
        </w:rPr>
        <w:t>E. 3.1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w:t>
      </w:r>
    </w:p>
    <w:p>
      <w:r>
        <w:t>A/1228/2025 - 8/14 -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1bis LAI précise qu'une rente n'est pas octroyée tant que toutes les possibilités de réadaptation au sens de l'art. 8 al. 1bis et 1ter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A/1228/2025 - 9/14 -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w:t>
      </w:r>
    </w:p>
    <w:p>
      <w:r>
        <w:t>A/1228/2025 - 10/14 -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w:t>
      </w:r>
    </w:p>
    <w:p>
      <w:r>
        <w:t>A/1228/2025 - 11/14 -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l’occurrence, l’intimé conclut au renvoi du dossier pour instruction complémentaire, notamment dans le but d’adresser un rapport à la Dre G______ et d’obtenir l’ENMG effectuée par le Dr L______, avant de déterminer la suite à donner à la demande de prestations du recourant. Ce dernier sollicite quant à lui mise en œuvre d’une expertise judiciaire et, subsidiairement, conclut au renvoi de la cause à l’intimé pour instruction complémentaire du dossier. Il appert que l’intimé a rendu sa décision du 12 mars 2025 en se fondant sur les avis médicaux du médecin du SMR des 13 août et 17 octobre 2024. Dans son premier avis médical, le médecin du SMR a retenu, au titre d’atteintes à la santé incapacitantes, une rupture itérative de la coiffe des rotateurs de l’épaule droite et un vertige positionnel paroxystique bénin. Puis, prenant en considération les pièces produites par le recourant durant la phase d’audition, il a retenu que celui-ci présentait une nouvelle atteinte, à savoir une cardiopathie ischémique. Le médecin du SMR a considéré que cette atteinte n’entraînait pas de limitations fonctionnelles supplémentaires, de sorte qu’il a maintenu son appréciation du 13 août 2024 selon laquelle la capacité de travail du recourant était nulle depuis le 1er novembre 2021, quelle que soit l’activité considérée, puis entière à compter du 1er juillet 2024 dans une activité adaptée aux limitations fonctionnelles suivantes : activité légère essentiellement assise, sans élévation des bras au-dessus de l’horizontale, sans travaux en hauteur, sans marche en terrain irrégulier, sans marche prolongée, sans port de charges excédant 5 kg, « sans escalier en lien avec la rampe ». Or, il ressort des rapports médicaux produits par le recourant à l’appui de son recours que celui-ci présente des atteintes dont le médecin du SMR n’avait pas connaissance au moment où l’intimé a rendu sa décision du 12 mars 2025. En effet, le Dr H______ retient, dans son rapport du 3 avril 2025, que le recourant souffre d’une polyneuropathie diabétique prononcée, diagnostiquée par la Dre G______ dans son rapport du 22 novembre 2024, d’une névralgie d’Arnold, relevée par le Dr F______ dans son rapport du 14 mai 2024, et de troubles</w:t>
      </w:r>
    </w:p>
    <w:p>
      <w:r>
        <w:t>A/1228/2025 - 12/14 - mnésiques significatifs. Le Dr J______ estime quant à lui, dans son rapport du 3 mars 2025, que le recourant présente une raideur à l’épaule droite, des douleurs chroniques et une impotence fonctionnelle, en précisant que l’état de santé de l’assuré s’est péjoré depuis son précédent rapport médical du</w:t>
      </w:r>
    </w:p>
    <w:p>
      <w:r>
        <w:rPr>
          <w:b/>
        </w:rPr>
        <w:t>E. 7</w:t>
      </w:r>
    </w:p>
    <w:p>
      <w:r>
        <w:t>juillet 2024. Ces deux médecins estiment que la capacité de travail du recourant est nulle, quelle que soit l’activité considérée. En outre, la Dre G______ indique dans ses rapports des 19 juillet et 22 novembre 2024 que le recourant souffre d’une spondylarthrose cervicale étagée, d’une polyneuropathie liée à une dyslipidémie et à un diabète de type II et d’une paresthésie des membres inférieurs. L’intimé n’ayant pas eu connaissance des rapports médicaux précités avant de rendre sa décision du 12 mars 2025, le médecin du SMR ne s’est pas prononcé sur certaines atteintes à la santé du recourant survenues avant la décision entreprise, ni sur les éventuelles limitations fonctionnelles supplémentaires y relatives. Il en va de même s’agissant de l’atteinte à l’épaule droite du recourant, dont l’intimé avait connaissance, mais qui s’est visiblement péjorée depuis le dernier rapport qui lui a été transmis à ce propos. Par conséquent, le dossier du recourant doit encore faire l’objet d’une instruction avant qu’il ne puisse être statué sur son droit à la rente à compter du 1er octobre 2024. Dans la mesure où certaines atteintes du recourant n’étaient pas connues du médecin du SMR et qu’elles n’ont fait l’objet d’aucune instruction de la part de l’intimé, la chambre de céans renverra la cause à ce dernier pour nouvelle instruction du dossier et pour qu’il se prononce à nouveau sur le droit du recourant à des prestations de l’assurance-invalidité à compter du 1er octobre 2024. 5. Le recourant conclut à la condamnation de l’intimé aux frais de justice et aux dépens dans l’hypothèse où la cause lui serait renvoyée. L’intimé estime quant à lui qu’il n’a conclu au renvoi du dossier pour instruction complémentaire qu’après avoir pris connaissance des nouvelles pièces médicales produites dans le cadre du recours, de sorte que le recourant doit supporter les frais de procédure et les dépens. 5.1 Selon l'art. 61 let. g LPGA, le recourant, représenté,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 5.2 En l’occurrence, le recourant aurait pu agir plus diligemment en communiquant à l’intimé, durant la phase d’audition, certaines des pièces qu’il a produites à l’appui de son recours.</w:t>
      </w:r>
    </w:p>
    <w:p>
      <w:r>
        <w:t>A/1228/2025 - 13/14 - En effet, il appert que la spondyloarthrose a été diagnostiquée par la Dre G______ dans son rapport du 19 juillet 2024 et que la névralgie d’Arnold a été constatée par le Dr F______ dans son rapport du 14 mai 2024, sur lequel s’est d’ailleurs fondé le Dr H______ dans son rapport du 3 avril 2025. Dans la mesure où ces rapports médicaux ont été établis avant le terme de la phase d’audition fixé au 1er octobre 2024 par l’intimé, le recourant aurait dû les lui communiquer. À cet égard, il sied de rappeler que l’intimé a interpellé le recourant par courrier du 24 juin 2024, en l’informant que le Dr F______ n’avait pas répondu à sa demande de renseignements et en l’invitant à lui demander de donner suite à sa requête. Bien que le recourant ait indiqué à l’intimé, dans son opposition du 6 septembre 2024, que son dossier était incomplet et qu’il convenait d’attendre le résultat des examens prescrits avant de statuer sur son droit à des prestations d’invalidité, il n’a pas produit les rapports susmentionnés dans le cadre de la phase d’audition, de sorte que l’intimé ne pouvait pas instruire son dossier en tenant compte de certaines de ses atteintes. Compte tenu de ce qui précède, le recourant, qui obtient partiellement gain de cause et qui est assisté d’un conseil, a droit à des dépens – réduits – qui seront fixés à CHF 1’000.- et mis à la charge de l’intimé. 5.3 Dans la mesure où la chambre de céans annule la décision querellée et renvoie la cause à l’intimé pour complément d’instruction, les frais ne sauraient être mis à la charge du recourant, dès lors que celui-ci obtient gain de cause (ATF 137 V 57 consid. 2.2). Partant, un émolument de CHF 200.- est mis à la charge de l’intimé, qui succombe, conformément à l’art. 69 al. 1bis LAI.</w:t>
      </w:r>
    </w:p>
    <w:p>
      <w:r>
        <w:t>******</w:t>
      </w:r>
    </w:p>
    <w:p>
      <w:r>
        <w:t>A/1228/2025 - 14/14 -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