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ATAS/627/2015 vom 26. August 2015</w:t>
      </w:r>
    </w:p>
    <w:p>
      <w:r>
        <w:t>GE Cour de justice, 2015-08-26, FR</w:t>
      </w:r>
    </w:p>
    <w:p>
      <w:r>
        <w:rPr>
          <w:b/>
        </w:rPr>
        <w:t xml:space="preserve">Quelle: </w:t>
      </w:r>
      <w:r>
        <w:t>https://mcp.opencaselaw.ch/entscheid/ge_gerichte_ATAS_627_2015</w:t>
      </w:r>
    </w:p>
    <w:p>
      <w:r>
        <w:t>FR: GE_GERICHTE ATAS/627/2015 du 26 août 2015</w:t>
      </w:r>
    </w:p>
    <w:p>
      <w:r>
        <w:t>IT: GE_GERICHTE ATAS/627/2015 del 26 agosto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Interjeté dans les forme et délai prévus par la loi, le recours est recevable (art. 56ss LPGA).</w:t>
      </w:r>
    </w:p>
    <w:p>
      <w:r>
        <w:rPr>
          <w:b/>
        </w:rPr>
        <w:t>E. 4</w:t>
      </w:r>
    </w:p>
    <w:p>
      <w:r>
        <w:t>Le litige porte sur le point de savoir si l’intimé était fondé à supprimer, à l’issue de la procédure de révision, la rente entière d’invalidité du recourant, singulièrement si</w:t>
      </w:r>
    </w:p>
    <w:p>
      <w:r>
        <w:t>A/3407/2014 - 13/21 - l’état de santé de ce dernier s’est amélioré dans une mesure excluant tout droit à la rente.</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w:t>
      </w:r>
    </w:p>
    <w:p>
      <w:r>
        <w:t>A/3407/2014 - 14/21 - insuffisante; il faut bien plutôt se demander s'il y a lieu d'admettre que la mise à profit de sa capacité de travail ne peut pratiquement plus être raisonnablement exigée de lui, ou qu'elle serait même insupportable pour la société (ATF 127 V 294 consid. 4c;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7</w:t>
      </w:r>
    </w:p>
    <w:p>
      <w:r>
        <w:t>D’après une jurisprudence constante, la dépendance, qu'elle prenne la forme de l'alcoolisme, de la pharmacodépendance ou de la toxicomanie, ne constitue pas en soi une invalidité au sens de la loi. Elle joue en revanche un rôle dans l'assurance- 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(arrêt du Tribunal fédéral 9C_706/2012 du 1er juillet 2013 consid. 3.2, arrêt du Tribunal fédéral 9C_395/2007 du 15 avril 2008 consid. 2.2, arrêt du Tribunal fédéral des assurances I 169/06 du</w:t>
      </w:r>
    </w:p>
    <w:p>
      <w:r>
        <w:rPr>
          <w:b/>
        </w:rPr>
        <w:t>E. 8</w:t>
      </w:r>
    </w:p>
    <w:p>
      <w:r>
        <w:t>En vertu de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w:t>
      </w:r>
    </w:p>
    <w:p>
      <w:r>
        <w:t>A/3407/2014 - 15/21 - l’art. 17 LPGA. La rente peut être révisée non seulement en cas de modification sensible de l’état de santé, mais aussi lorsque celui-ci est resté en soi le même, mais que ses conséquences sur la capacité de gain ont subi un changement important (Ueli KIESER, ATSG-Kommentar: Kommentar zum Bundesgesetz über den Allgemeinen Teil des Sozialversicherungsrechts vom 6. Oktober 2000, 2ème éd., Zurich 2009, n. 21 ad art. 17;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Conformément à l’art. 88a al. 1 du règlement sur l’assurance-invalidité (RAI - RS 831.201), si la capacité de gain de l’assuré s’améliore,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Enfin, selon l'art. 88bis al. 2 RAI,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(let. b).</w:t>
      </w:r>
    </w:p>
    <w:p>
      <w:r>
        <w:rPr>
          <w:b/>
        </w:rPr>
        <w:t>E. 9</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w:t>
      </w:r>
    </w:p>
    <w:p>
      <w:r>
        <w:t>A/3407/2014 - 16/21 -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Pour savoir si l’état de santé, respectivement la capacité de gain, du recourant s’est amélioré, il convient de comparer les faits tels qu’ils se présentaient lors de la dernière révision entrée en force avec ceux prévalant lors de la décision querellée. En l’occurrence, à l’issue de l’instruction menée dans le cadre de la première</w:t>
      </w:r>
    </w:p>
    <w:p>
      <w:r>
        <w:t>A/3407/2014 - 17/21 - révision, l’intimé avait examiné le degré d’invalidité et constaté qu’il n’avait pas changé, de sorte que le droit à la rente n’était pas modifié conformément à la communication du 2 mai 2007. Partant, c’est cette date qui est déterminante comme point de départ pour la révision, ce qui ressort d’ailleurs de la décision litigieuse. Il convient en l’espèce de se pencher sur les expertises psychiatrique et de médecine interne diligentées par l’intimé. S’agissant du rapport de la Dresse L______, on soulignera en premier lieu que la critique du recourant sur les divergences entre les première et deuxième expertises de cette spécialiste est fondée. En effet, cette dernière qualifie désormais de primaire l’alcoolisme du recourant - au demeurant sans étayer cette appréciation. Ce faisant, elle revient sans explications sur son premier avis, selon lequel il s’agissait d’une affection secondaire. Eu égard aux circonstances, et quand bien même le recourant est actuellement sobre, il s’agit d’une contradiction centrale qui suffit à susciter des doutes sur la valeur probante de la dernière expertise psychiatrique. De plus, on comprend mal sur quels éléments la Dresse L______ se fonde pour admettre une capacité de travail totale au plan psychique dès 2008. Elle a certes indiqué que les notes du 5 novembre 2008 « infirmaient un épisode dépressif sévère à cette époque ». Or, le rapport de la Commission paritaire mentionne l’activité du recourant sur un seul chantier durant une journée. Si un tel élément peut certes constituer un indice en faveur d’une amélioration de l’état dépressif, pris isolément, il ne suffit nullement à y conclure de manière aussi catégorique que le fait la Dresse L______. Par ailleurs, même à supposer que tel fût le cas, la chambre de céans relève que ce rapport est daté de novembre 2008 et ne permet ainsi pas de retenir une amélioration de l’état de santé dès début 2008, sans autre motivation. Or, la tâche de l’expert est de faire part de ses constatations du point de vue médical. De surcroît, le diagnostic de troubles mentaux, neurologiques et du comportement liés à une dépendance à l’alcool, utilisation actuelle (F 10.24) a été posé en 2004 mais ne figure plus dans les diagnostics retenus par la psychiatre à l’issue de sa seconde expertise, sans qu’elle n’indique si et quand cette atteinte aurait disparu, ou qu’elle se prononce sur l’incapacité de travail que peuvent engendrer de tels troubles. Son expertise est ainsi contradictoire et lacunaire, et ne peut donc se voir reconnaître de valeur probante. Quant à l’expertise du Dr P______, selon laquelle une activité adaptée était exigible à 100 % depuis 1999, elle appelle les commentaires suivants : l’expertise pluridisciplinaire réalisée en 2004 s’est certes focalisée sur les troubles psychiques du recourant, puisque ceux-ci étaient suffisants à admettre une incapacité de gain totale. Elle ne contenait ainsi pas de conclusions sur la capacité de travail au plan somatique. Il n’en reste pas moins que des limitations telles que troubles de la mémoire, polyneuropathie sensitive et motrice et syndrome cérébelleux statique ont été posées. Or, le Dr P______ ne se prononce guère sur ces limitations. Il tient bien compte de la polyneuropathie sensitive, admettant qu’elle ne permettait pas de reprendre une activité dans le bâtiment. En revanche, il ne donne aucune</w:t>
      </w:r>
    </w:p>
    <w:p>
      <w:r>
        <w:t>A/3407/2014 - 18/21 - explication sur le fait qu’il ne retient pas de syndrome cérébelleux statique, pourtant évoqué en 2004, alors qu’il est précisément déterminant de savoir dans le cadre d’une révision si et à quelle date une amélioration durable de l’état de santé et des limitations fonctionnelles est survenue. On peut au demeurant se demander si le Dr P______, en admettant une capacité de travail entière dans une activité adaptée dès 1999 du point de vue somatique, ne procède en réalité pas à une nouvelle appréciation d’un état de fait identique, ce qui ne suffit pas à reconsidérer une décision (arrêt du Tribunal fédéral des assurances I 12/04 du 14 avril 2005 consid. 3.2). Enfin, le Dr P______ a diagnostiqué une cirrhose avec une grave atteinte de la fonction de synthèse, situation qu’il a qualifiée d’inquiétante, en précisant que cette atteinte avait des répercussions sur la capacité de travail. Il a également noté un état général abaissé et un déconditionnement avec hypotrophie musculaire. Au vu de ces éléments, il apparaît pour le moins contradictoire qu’il tienne uniquement compte de la polyneuropathie des membres inférieurs pour évaluer la capacité de travail du recourant et déterminer quelle activité serait adaptée, sans se prononcer précisément sur les limitations fonctionnelles et l’incapacité de travail ou de gain éventuellement entraînées par la cirrhose. Partant, ses conclusions ne sont pas convaincantes. Par ailleurs, outre les carences de chacune des expertises relevées ci-dessus, compte tenu de la nature des troubles du recourant et de l’incidence de la neuropathie sur sa capacité de travail, l’intimé aurait dû procéder à une expertise neurologique, dont il avait d’ailleurs reconnu la nécessité en 2004. De plus, l’intimé ne pouvait se dispenser de diligenter une expertise pluridisciplinaire. En effet, le taux de l'incapacité de travail ne résulte pas de la simple addition de deux taux d'incapacité de travail (d'origine somatique et psychique) mais procède bien plutôt d'une évaluation globale, généralement au moyen d'une expertise pluridisciplinaire (arrêt du Tribunal fédéral des assurances I 207/04 du 23 juin 2004 consid. 7). En l’espèce, un consilium se justifiait, notamment compte tenu des interférences entre les différentes pathologies. Le Dr P______ a en effet soutenu que tant que l’assuré continuerait à boire, il serait inapte à exercer une activité rémunérée de manière régulière. Partant, il était essentiel que les experts apprécient la capacité de travail de manière consensuelle, notamment après avoir exposé de manière circonstanciée si l’alcoolisme était de nature primaire ou secondaire. Enfin, l’intimé n’a pas instruit suffisamment la question des complications postérieures à l’expertise du Dr P______ et le Dr T______ semblait d’ailleurs considérer qu’il était impossible de se prononcer sur leur caractère durable sans instruction complémentaire. Le recourant, qui paraît être désormais suivi au Portugal, a certes produit plusieurs certificats dans le cadre de son recours. Eu égard à la piètre qualité de leur traduction, ces documents ne suffisent cependant pas à conclure que l’état de santé du recourant aurait évolué de manière positive ou au contraire à exclure que la dégradation de son état de santé, soit la</w:t>
      </w:r>
    </w:p>
    <w:p>
      <w:r>
        <w:t>A/3407/2014 - 19/21 - décompensation cirrhotique survenue en novembre 2011, aurait eu des conséquences durables. La chambre de céans constate encore que l’intimé a également fait fi des autres rapports médicaux figurant au dossier, aussi bien ceux émanant des gastro- entérologues des HUG, que ceux des médecins portugais, qui font état de nombreuses limitations fonctionnelles sur le plan physique et de capacités amoindries sur le plan psychique entraînant une incapacité de travail totale. Ces éléments étaient pourtant de nature à jeter un doute quant aux conclusions des experts qui datent au demeurant de plus de trois ans. Compte tenu de tous ces éléments, la chambre de céans n’est pas en mesure de statuer sur la question de savoir si l’état de santé du recourant s’est amélioré durablement dans une mesure excluant le droit à la rente depuis la dernière décision de révision. Selon la jurisprudence, lorsque le juge constate qu’une expertise est nécessaire, il doit en principe la mettre en œuvre lui-même. Un renvoi à l’administration reste cependant possible lorsqu’il est justifié par l’examen d’un point qui n’a pas du tout été investigué (ATF 137 V 210 consid. 4.4.1.3 et 4.4.1.4). Au vu des carences des expertises ordonnées par l’intimé, et notamment de l’absence d’un volet neurologique, un renvoi se justifie. L’intimé devra diligenter une expertise pluridisciplinaire qu’il confiera à un psychiatre, un neurologue et un spécialiste en médecine interne, qui devront se prononcer - cas échant en requérant l’avis d’un gastro-entérologue - de manière consensuelle sur l’évolution de l’état de santé, respectivement la capacité de travail et de gain du recourant.</w:t>
      </w:r>
    </w:p>
    <w:p>
      <w:r>
        <w:rPr>
          <w:b/>
        </w:rPr>
        <w:t>E. 11</w:t>
      </w:r>
    </w:p>
    <w:p>
      <w:r>
        <w:t>Au vu des circonstances, la chambre de céans se doit en outre de rappeler qu’avant de réduire ou de supprimer une rente d'invalidité, l'administration doit examiner si la capacité de travail que la personne assurée a recouvrée sur le plan médico- 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(arrêts du Tribunal fédéral 9C_800/2014 du 31 janvier 2015 consid. 5 et 9C_920/2013 du 20 mai 2014 consid. 4.4 et les références).</w:t>
      </w:r>
    </w:p>
    <w:p>
      <w:r>
        <w:t>A/3407/2014 - 20/21 - En l’espèce, le recourant remplit les conditions prévues par la jurisprudence, puisqu’il était âgé de 55 ans au moment de la décision de l’intimé de supprimer la rente. Le fait que le recourant ait pu déclarer, dans les circonstances particulières des expertises, qu’il ne se sentait pas apte à travailler, ne suffit en particulier pas à nier le droit à des mesures de réadaptation sans autre examen. Ce d’autant que le recourant avait expliqué au collaborateur de la réadaptation professionnelle qu’il venait d’être victime d’une fracture de la clavicule gauche ayant nécessité une ostéosynthèse et qu’il avait d’importants problèmes de mémoire. Le cas échéant, en fonction des conclusions de l’expertise, l’intimé devra tenir compte de ce qui précède avant de supprimer la rente du recourant.</w:t>
      </w:r>
    </w:p>
    <w:p>
      <w:r>
        <w:rPr>
          <w:b/>
        </w:rPr>
        <w:t>E. 12</w:t>
      </w:r>
    </w:p>
    <w:p>
      <w:r>
        <w:t>Eu égard à ce qui précède, le recours est partiellement admis. Le recourant a droit à des dépens, qu’il convient de fixer à CHF 1'500.- (art. 61 let. g LPGA). La procédure en matière d’assurance-invalidité n'étant pas gratuite (art. 69 al. 1bis LAI), l’intimé sera condamné au paiement d’un émolument de CHF 500.-.</w:t>
      </w:r>
    </w:p>
    <w:p>
      <w:r>
        <w:t>A/3407/2014 - 21/21 -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