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ATAS/627/2008 vom 7. Februar 2005</w:t>
      </w:r>
    </w:p>
    <w:p>
      <w:r>
        <w:t>GE Cour de justice, 2005-02-07, FR</w:t>
      </w:r>
    </w:p>
    <w:p>
      <w:r>
        <w:rPr>
          <w:b/>
        </w:rPr>
        <w:t xml:space="preserve">Quelle: </w:t>
      </w:r>
      <w:r>
        <w:t>https://mcp.opencaselaw.ch/entscheid/ge_gerichte_ATAS_627_2008</w:t>
      </w:r>
    </w:p>
    <w:p>
      <w:r>
        <w:t>FR: GE_GERICHTE ATAS/627/2008 du 7 février 2005</w:t>
      </w:r>
    </w:p>
    <w:p>
      <w:r>
        <w:t>IT: GE_GERICHTE ATAS/627/2008 del 7 febbraio 2005</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w:t>
      </w:r>
    </w:p>
    <w:p>
      <w:r>
        <w:t>A/1606/2007 - 9/14 -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Le présent litige, qui concerne le droit éventuel à des prestations suite à un accident survenu en novembre 2000, doit être examiné à la lumière des anciennes dispositions pour la période s'étendant jusqu'au 31 décembre 2002 et, le cas échéant, au regard des nouvelles dispositions de la LAA et de la LPGA pour la période postérieure (ATF 130 V 332 consid. 2.2 et 2.3).</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Selon l’art. 60 al. 1 LPGA, le délai de recours est de trente jours. Toutefois, en dérogation à la LPGA, l’art. 106 LAA prévoit un délai de recours de trois mois. Interjeté en temps utile et selon la forme prescrite, le recours est recevable.</w:t>
      </w:r>
    </w:p>
    <w:p>
      <w:r>
        <w:rPr>
          <w:b/>
        </w:rPr>
        <w:t>E. 4</w:t>
      </w:r>
    </w:p>
    <w:p>
      <w:r>
        <w:t>Le litige porte sur le taux de la rente d'invalidité à laquelle peut prétendre l'assuré.</w:t>
      </w:r>
    </w:p>
    <w:p>
      <w:r>
        <w:rPr>
          <w:b/>
        </w:rPr>
        <w:t>E. 5</w:t>
      </w:r>
    </w:p>
    <w:p>
      <w:r>
        <w:t>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w:t>
      </w:r>
    </w:p>
    <w:p>
      <w:r>
        <w:t>Le Tribunal fédéral des assurances a posé le principe que l'uniformité de la notion d'invalidité, qui doit conduire à fixer pour une même atteinte à la santé un même taux d'invalidité, règle la coordination de l'évaluation de l'invalidité en droit des</w:t>
      </w:r>
    </w:p>
    <w:p>
      <w:r>
        <w:t>A/1606/2007 - 10/14 - assurances sociales (ATF 126 V 288 = VSI 2001 p. 82 ss. consid. 2d, 3 et 4).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à l'art. 8 al. 1 LPGA (ATFA non publié du 24 mars 2004, U 288/03, consid. 5.1). Cela signifie que l'assurance-invalidité, l'assurance-accidents et l'assurance militaire doivent non seulement procéder séparément à la fixation du taux d'invalidité de l'assuré, mais également tenir compte d'évaluations de l'invalidité entrées en force. En conséquence, s'agissant de la coordination de l'évaluation de l'invalidité de l'assurance-invalidité et de l'assurance-accidents, l'assurance-invalidité est liée, en principe, par l'évaluation de l'invalidité de l'assurance-accidents passée en force. Elle ne saurait s'en écarter qu'à titre exceptionnel et seulement s'il existe de solides raisons. Il ne suffit donc pas qu'une appréciation divergente soit soutenable, voire même équivalente (ATFA non publié du 16 mars 2001, U 259/00, consid. 5a). Toutefois, il convient de s’écarter d’une telle évaluation lorsqu’elle repose sur une erreur de droit ou sur une appréciation insoutenable (ATF 119 V 471 consid. 2b) ou encore lorsqu’elle résulte d’une simple transaction conclue avec l’assuré (ATF 112 V 175 ss consid. 2a). A ces motifs de divergence déjà reconnus antérieurement par la jurisprudence, il faut ajouter des mesures d’instruction extrêmement limitées et superficielles, ainsi qu’une évaluation pas du tout convaincante ou entachée d’inobjectivité (ATF 126 V 288 consid. 2d; RAMA 2000 n° U 406 p. 402 consid. 3). Encore faut-il, pour que l'assurance-invalidité soit liée par l'évaluation de l'invalidité de l'assurance-accidents, que celle-ci ait fait l'objet d'une décision, passée en force. Tel est le cas si l'entrée en force de la décision de l'assurance- accidents est postérieure à la décision attaquée de l'assurance-invalidité, mais qu'elle est intervenue au cours de la procédure de recours. Ces principes valent également lorsque, la situation qui se présente est l'inverse de celle qui prévalait dans l'ATF 126 V 288, la décision de l'office AI étant passée en force (ATFA non publié du 16 mars 2001, U 259/00, consid. 5a). Lorsqu'un recours est interjeté contre la décision de l'assureur-accidents, la juridiction saisie du litige doit, aux mêmes conditions, prendre en considération une décision de l'assurance-invalidité entrée en force dans l'intervalle (RAMA 2001 n° U 410 p. 73 consid. 3 et 4).</w:t>
      </w:r>
    </w:p>
    <w:p>
      <w:r>
        <w:rPr>
          <w:b/>
        </w:rPr>
        <w:t>E. 7</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w:t>
      </w:r>
    </w:p>
    <w:p>
      <w:r>
        <w:t>A/1606/2007 - 11/14 -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De plus,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w:t>
      </w:r>
    </w:p>
    <w:p>
      <w:r>
        <w:rPr>
          <w:b/>
        </w:rPr>
        <w:t>E. 8</w:t>
      </w:r>
    </w:p>
    <w:p>
      <w:r>
        <w:t>En l'espèce, l'OCAI a dans un premier temps rejeté la demande de prestation AI déposée par l'assuré en 2002, au motif qu'il ne présentait pas d'atteinte à la santé invalidante, ni du point de vue somatique ni du point de vue psychique. Par décision sur opposition du 16 avril 2008 toutefois, il lui a reconnu un degré d'invalidité de 50%, se fondant principalement sur l'expertise du Dr M__________ de la PMU. Ladite décision est entrée en force, et doit être prise en considération par le Tribunal de céans pour la résolution du présent litige. Il y a ainsi lieu d'examiner s'il y a des raisons de s'écarter du taux d'invalidité retenu par l'OCAI, étant rappelé que tel ne serait le cas que si l'appréciation de celui-ci était insoutenable.</w:t>
      </w:r>
    </w:p>
    <w:p>
      <w:r>
        <w:t>A/1606/2007 - 12/14 -</w:t>
      </w:r>
    </w:p>
    <w:p>
      <w:r>
        <w:rPr>
          <w:b/>
        </w:rPr>
        <w:t>E. 9</w:t>
      </w:r>
    </w:p>
    <w:p>
      <w:r>
        <w:t>Dans le dossier figurent principalement deux rapports d'expertise, celui de la PMU ordonné par la WINTERTHUR et établi le 19 septembre 2006, et celui du Prof. O__________ du 1er février 2006, mandaté par l'assuré lui-même. Il y a lieu de constater que les deux rapports remplissent tous les réquisits de la jurisprudence permettant de leur attribuer pleine valeur probante. Les médecins ont en effet expliqué en quoi consistaient les atteintes à la santé et quelles limitations elles entraînaient. Leurs conclusions sont claires et bien motivées. La WINTERTHUR considère toutefois que l'expertise du Prof. O__________ ne devrait pas être retenue, dans la mesure où elle est de nature purement privée, qu'elle a été réalisée hors de la procédure administrative en cours, sans égard aux exigences de celle-ci, et qu'elle est au surplus plus ancienne que celle de la PMU, ce qui peut être important dans un contexte de recouvrement des capacités physiques après un accident relativement bénin. Le fait qu'il s'agisse d'une expertise privée ne justifie pas en soi des doutes quant à sa valeur probante. Une expertise présentée par une partie peut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l'assurance-accidents ou par un office AI (ATF 125 V 351 ; ATFA du 29 octobre 2003 I 321/03). Selon l'expertise de la PMU datée du 19 septembre 2006, l'assuré présente une capacité résiduelle de 50% du point de vue somatique ce dans une activité adaptée à ses limitations, soit évitant les efforts sollicitant le membre supérieur droit et les travaux manuels répétitifs. Le Prof. O__________ des HUG a quant à lui évalué l'incapacité de travail de l'assuré à 100%, quelle que soit l'activité envisagée, "même dans une situation de type administratif sans travaux lourds". Le Dr M__________ de la PMU a expliqué lors de son audition, avoir considéré qu'une activité de type administratif était toujours modulable et qu'il était plus facile pour quelqu'un qui a la formation de l'assuré de s'adapter, alors que le Prof. O__________ a voulu tenir compte du fait que l'assuré souffre de douleurs chroniques, constantes et importantes, lesquelles exercent un effet indéniable sur la concentration, et sont également présentes la nuit, ce qui l'empêche de se reposer correctement. Certes le Dr M__________ estime-t-il que les efforts sollicitant le membre supérieur droit devraient être évités, ce qui conduit l'assuré à prétendre qu'il ne pourrait même pas exercer son activité de mandataire commercial. Il y a toutefois lieu de relever qu'une activité de ce type permet précisément une adaptation plus</w:t>
      </w:r>
    </w:p>
    <w:p>
      <w:r>
        <w:t>A/1606/2007 - 13/14 - souple. Du reste, le Prof. O__________ relevait lui-même, dans son rapport d'expertise, que "si l'on arrive à obtenir une épaule indolente, peut-être qu'on pourra envisager, à ce moment-là, une reprise de travail au moins à temps partiel dans une activité de type administratif". Il apparaît ainsi qu'il ne se justifie pas de s'écarter du taux de 50% retenu par l'assurance-invalidité. Aussi le recours est-il rejeté.</w:t>
      </w:r>
    </w:p>
    <w:p>
      <w:r>
        <w:t>A/1606/2007 - 14/14 -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