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ATAS/627/2007 vom 31. Mai 2007</w:t>
      </w:r>
    </w:p>
    <w:p>
      <w:r>
        <w:t>GE Cour de justice, 2007-05-31, FR</w:t>
      </w:r>
    </w:p>
    <w:p>
      <w:r>
        <w:rPr>
          <w:b/>
        </w:rPr>
        <w:t xml:space="preserve">Quelle: </w:t>
      </w:r>
      <w:r>
        <w:t>https://mcp.opencaselaw.ch/entscheid/ge_gerichte_ATAS_627_2007</w:t>
      </w:r>
    </w:p>
    <w:p>
      <w:r>
        <w:t>FR: GE_GERICHTE ATAS/627/2007 du 31 mai 2007</w:t>
      </w:r>
    </w:p>
    <w:p>
      <w:r>
        <w:t>IT: GE_GERICHTE ATAS/627/2007 del 31 maggio 2007</w:t>
      </w:r>
    </w:p>
    <w:p>
      <w:pPr>
        <w:pStyle w:val="Heading2"/>
      </w:pPr>
      <w:r>
        <w:t>Erwägungen</w:t>
      </w:r>
    </w:p>
    <w:p>
      <w:r>
        <w:rPr>
          <w:b/>
        </w:rPr>
        <w:t>E. 1</w:t>
      </w:r>
    </w:p>
    <w:p>
      <w:r>
        <w:t>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w:t>
      </w:r>
    </w:p>
    <w:p>
      <w:r>
        <w:rPr>
          <w:b/>
        </w:rPr>
        <w:t>E. 2</w:t>
      </w:r>
    </w:p>
    <w:p>
      <w:r>
        <w:t>La loi fédérale sur la partie générale du droit des assurances sociales du 6 octobre 2000 (LPGA ; 830.1) est entrée en vigueur le 1er janvier 2003, entraînant de nombreuses modifications dans le domaine de l’assurance-accidents. Aux termes de l’art. 1 al. 1 LAA (teneur au 1er janvier 2003), les dispositions de la LPGA s’appliquent à l’assurance-accidents, à moins que la LAA n’y déroge expressément. Selon les principes généraux en matière de droit intertemporel, on applique, en cas de changement de règles de droit, la législation en vigueur lors de la réalisation de l'état de fait qui doit être apprécié juridiquement ou qui a des conséquences juridiques (ATF 130 V 332 s. consid. 2.2 et 2.3, 129 V 4 consid. 1.2 et la référence). Dans le cas d'espèce, l'état de fait juridiquement déterminant dont dépend le droit aux prestations de l'assurance-accidents s'est réalisé avant l'entrée en vigueur de la LPGA. L'examen des conditions matérielles du droit à la prestation intervient d'après l'ancien droit pour la période s'étendant jusqu'au 31 décembre 2002, et selon la LPGA pour la période postérieure (ATF 130 V 334 consid. 6).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contenues dans la LPGA, elles s'appliquent sans réserve dès le jour de son entrée en vigueur (ATF 117 V 93 consid. 6b, 112 V 360 consid. 4a; RAMA 1998 KV 37 p. 316 consid. 3b).</w:t>
      </w:r>
    </w:p>
    <w:p>
      <w:r>
        <w:rPr>
          <w:b/>
        </w:rPr>
        <w:t>E. 3</w:t>
      </w:r>
    </w:p>
    <w:p>
      <w:r>
        <w:t>En dérogation de l'art. 60 LPGA, le délai de recours est de trois mois à compter de la décision sur opposition portant sur des prestations d'assurance-accidents (art. 106 LAA). Interjeté le 12 mai 2005 contre la décision sur opposition du 14 février 2005, dans la forme requise par l'art. 56 LPGA, le présent recours est recevable.</w:t>
      </w:r>
    </w:p>
    <w:p>
      <w:r>
        <w:rPr>
          <w:b/>
        </w:rPr>
        <w:t>E. 4</w:t>
      </w:r>
    </w:p>
    <w:p>
      <w:r>
        <w:t>Le litige porte sur le degré d'invalidité qui doit être reconnu au recourant ainsi que sur le taux de l'indemnité pour atteinte à l'intégrité qui doit lui être allouée.</w:t>
      </w:r>
    </w:p>
    <w:p>
      <w:r>
        <w:rPr>
          <w:b/>
        </w:rPr>
        <w:t>E. 5</w:t>
      </w:r>
    </w:p>
    <w:p>
      <w:r>
        <w:t>En vertu de l'art. 18 al. 1 LAA, l'assuré a droit à une rente d'invalidité s'il devient invalide à 10% au moins par suite d'un accident. Aux termes de l'art. 8 al. 1 LPGA est réputée invalidité l'incapacité de gain totale ou partielle qui est présumée permanente ou de longue durée. L'art. 7 LPGA dispose qu'est réputée incapacité de gain toute diminution de l'ensemble ou d'une ou d'une partie des possibilités de gain de l'assuré sur le marché du travail équilibré qui entre en considération, si cette diminution résulte d'une atteinte à sa santé physique ou mentale et qu'elle persiste</w:t>
      </w:r>
    </w:p>
    <w:p>
      <w:r>
        <w:t>A/1608/2005 - 11/16 - après les traitements et les mesures de réadaptations exigibles. Selon l'art. 16 LPGA, pour évaluer le taux d'invalidité, le revenu que l'assuré aurait pu obtenir s'il n'était pas invalide avec celui qu'il pourrait obtenir en exerçant l'activité qui peut raisonnablement être exigée de lui après les traitements et les mesures de réadaptation, sur un marché du travail équilibré.</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soient bien motivées (ATF 122 V 157 consid. 1c p. 160 et les références). Selon la jurisprudence,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(ATFA non publié du 11 mai 2005, U 136/04 consid. 4.1).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l'intimée a octroyé à l'assuré une rente correspondant à un degré d'invalidité de 25%. Le recourant demande que lui soit accordée une rente équivalant à un degré d'invalidité de 50%. Il met également en doute l'impartialité du Dr B__________ et ses conclusions au motif qu'il est rémunéré par l'intimée.</w:t>
      </w:r>
    </w:p>
    <w:p>
      <w:r>
        <w:t>A/1608/2005 - 12/16 - Cependant, selon la jurisprudence,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les conclusions du Dr B__________ sont sérieusement motivées et les explications qu'il a données en audience pour expliquer ses conclusions convaincantes. Par ailleurs, le recourant n'amène aucun indice concret permettant de douter de leur bien-fondé. Le recourant soutient que son activité actuelle, qu'il exerce à plein temps avec un rendement de 50%, est parfaitement adaptée à ses limitations. Il ressort néanmoins du rapport établi le 3 juillet 2003 par l'inspecteur de la SUVA qui s'est rendu sur le chantier sur lequel travaillait l'assuré, s'est entretenu avec ce dernier et le conducteur des travaux, que le recourant ne peut plus effectuer de ferraillage parce que tirer sur la machine pour rassembler les fers lui procure des douleurs à la main droite et parce qu'il manque de force, qu'il s'occupe donc principalement à des travaux de rhabillage, de finition et à de la petite maçonnerie. Il est avéré et non contesté que le recourant éprouve des difficultés à serrer les outils et à les manipuler, qu'il a besoin de poses fréquentes et que le port de charges et la manipulation des matériaux lui posent également des problèmes, de sorte que le conducteur des travaux doit veiller à lui réserver des tâches peu pénibles. C'est par conséquent à juste titre que l'intimée a considéré que la fonction de maçon ferrailleur ne permet plus à l'assuré d'utiliser pleinement sa capacité résiduelle de gain et qu'elle a examiné sur le marché général du travail quel genre d'activité était encore médicalement exigible en dépit de l'atteinte à son annulaire et à son auriculaire droit. Il apparaît en effet que, sur le marché du travail réputé équilibré, l'assuré devrait pouvoir diminuer le préjudice financier consécutif à ses accidents. La SUVA a ainsi retenu, sur conseil du Dr B__________, 5 activités envisageables (cariste, chauffeur coursier, polisseur, employé trieur et gardien caissier) lesquelles sont contestées par le recourant qui allègue que toutes requièrent l'usage des deux mains. Quoi qu'il en soit, compte tenu du fait que, depuis lors, l'état du dos de l'assuré s'est aggravé et que l'appréciation de ces activités par le Dr B__________ n'est dès lors sans doute plus d'actualité, il convient bien plutôt de se référer aux</w:t>
      </w:r>
    </w:p>
    <w:p>
      <w:r>
        <w:t>A/1608/2005 - 13/16 - statistiques telles qu'elles ressortent de l'ESS. Il aurait certes été préférable, afin de coller au plus près de la réalité, de déterminer d'abord avec précision quelles activités l'assuré est encore en mesure d'exercer malgré son handicap, en les spécifiant clairement. Toutefois, dans la mesure où le montant retenu dans les statistiques représente le salaire mensuel brut (valeur centrale) pour des postes de travail requérant des connaissances professionnelles spéciales, on peut admettre, que la plupart de ces emplois sont, abstraction faite des limitations éprouvées par le recourant, conformes aux aptitudes de celui-ci. En effet, au regard du large éventail d'activités que recouvrent les secteurs de la production et des services, on doit convenir qu'un nombre significatif de ces activités sont légères et adaptées au handicap de l'assuré et que le salaire statistique alors pris en considération est donc représentatif de ce que pourrait gagner le recourant, compte tenu d'un marché équilibré du travail en mettant à profit sa pleine capacité de travail dans une activité adaptée. En l'espèce, si l'on compare le revenu qu'aurait réalisé l'assuré avant les accidents, soit 6'175 fr. par mois (montant qui n'est pas contesté par le recourant) à celui qu'il pourrait théoriquement réaliser dans une activité requérant des connaissances professionnelles spécialisées, tous secteurs confondus, et en appliquant, au surplus, une réduction de 20% pour tenir compte de ses limitations, soit 4'582 fr. (ESS 2002, TA1 : 5'493 fr. pour 40h./sem. = 5'727 pour 41,7 h. /sem.), on obtient un degré d'invalidité de 25,8 %, semblable à celui auquel est parvenu la SUVA. En conséquence, l'argumentation du recourant concernant le taux de la rente d'invalidité qui lui a été octroyé doit être écartée.</w:t>
      </w:r>
    </w:p>
    <w:p>
      <w:r>
        <w:rPr>
          <w:b/>
        </w:rPr>
        <w:t>E. 8</w:t>
      </w:r>
    </w:p>
    <w:p>
      <w:r>
        <w:t>Reste à examiner la question de l'indemnité pour atteinte à l'intégrité.</w:t>
      </w:r>
    </w:p>
    <w:p>
      <w:r>
        <w:rPr>
          <w:b/>
        </w:rPr>
        <w:t>E. 9</w:t>
      </w:r>
    </w:p>
    <w:p>
      <w:r>
        <w:t>En vertu de l'art. 24 al. 1 LAA, si, par suite de l'accident, l'assuré souffre d'une atteinte importante et durable à son intégrité physique ou mentale, il a droit à une indemnité équitable pour atteinte à l'intégrité. Aux termes de l'art. 36 al. 1 première phrase OLAA (ATF 124 V 29 et 209), une atteinte à l'intégrité est réputée durable lorsqu'il est prévisible qu'elle subsistera avec au moins la même gravité, pendant toute la vie.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 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w:t>
      </w:r>
    </w:p>
    <w:p>
      <w:r>
        <w:t>A/1608/2005 - 14/16 -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w:t>
      </w:r>
    </w:p>
    <w:p>
      <w:r>
        <w:rPr>
          <w:b/>
        </w:rPr>
        <w:t>E. 10</w:t>
      </w:r>
    </w:p>
    <w:p>
      <w:r>
        <w:t>Le recourant soutient que le pourcentage de 5% retenu par le Dr B__________, ne tient pas compte du fait qu'il ne peut plus verrouiller sa main droite, ce qui entraîne une perte de la force de préhension de 50%, et qu'il souffrira nécessairement d'arthrose à l'avenir. Il fait valoir que son atteinte doit être assimilée à une lésion de deux phalanges de deux doigts (taux de 10%) et non à la lésion de la dernière phalange de deux doigts. Tant le Dr B__________ que le Dr D__________ ont mesuré la perte de force de la main droite. Ils sont parvenus à des résultats similaires, à savoir que l'assuré a encore la force de soulever des charges d'au moins 10kg. On doit en conclure avec le Dr B__________ que la perte de force ne peut être comparée à la perte totale de l'usage de la main : un bon nombre de gestes de la vie courante notamment ne nécessitent pas davantage de force que celle, résiduelle, de la main du recourant. Il s'agit là d'une problématique essentiellement médicale. Or, le Dr B__________ a fixé le taux de l'atteinte à l'intégrité en tenant compte du fait que le verrouillage de la main était significativement atteint et d'une perte de préhension de 50% environ. Quant à l'éventualité d'une arthrose future, le médecin, interrogé en audience, a indiqué qu'une arthrose n'était guère possible au niveau du 4ème doigt, à hauteur de l'articulation qui a été bloquée. Il a admis qu'en revanche, si l'assuré utilisait</w:t>
      </w:r>
    </w:p>
    <w:p>
      <w:r>
        <w:t>A/1608/2005 - 15/16 - beaucoup sa main, une arthrose pourrait apparaître aux autres phalanges du même doigt mais a souligné que cette hypothèse était peu probable, du fait que l'assuré ne peut surcharger sa main. Quant au risque arthrosique des autres doigts, le Dr B__________ l'a jugé limité, quel que soit l'usage que l'assuré fasse de sa main. Les explications du Dr B__________ à cet égard paraissent convaincantes et les éléments invoqués par l'assuré (verrouillage total impossible et perte de force) ayant été pris en compte par le médecin, il n'y a pas lieu de s'écarter de son appréciation quant au degré de l'atteinte à l'intégrité. Il convient donc de considérer que le taux de 5% retenu par le Dr B__________, basé sur la table 3 et par analogie à l'amputation de la phalange distale de deux doigts est justifié et doit être confirmé.</w:t>
      </w:r>
    </w:p>
    <w:p>
      <w:r>
        <w:rPr>
          <w:b/>
        </w:rPr>
        <w:t>E. 11</w:t>
      </w:r>
    </w:p>
    <w:p>
      <w:r>
        <w:t>Eu égard aux considérations qui précèdent, le recours est rejeté.</w:t>
      </w:r>
    </w:p>
    <w:p>
      <w:r>
        <w:t>A/1608/2005 - 16/16 -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