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ATAS/626/2025 vom 22. August 2025</w:t>
      </w:r>
    </w:p>
    <w:p>
      <w:r>
        <w:t>GE Cour de justice, 2025-08-22, FR</w:t>
      </w:r>
    </w:p>
    <w:p>
      <w:r>
        <w:rPr>
          <w:b/>
        </w:rPr>
        <w:t xml:space="preserve">Quelle: </w:t>
      </w:r>
      <w:r>
        <w:t>https://mcp.opencaselaw.ch/entscheid/ge_gerichte_ATAS_626_2025</w:t>
      </w:r>
    </w:p>
    <w:p>
      <w:r>
        <w:t>FR: GE_GERICHTE ATAS/626/2025 du 22 août 2025</w:t>
      </w:r>
    </w:p>
    <w:p>
      <w:r>
        <w:t>IT: GE_GERICHTE ATAS/626/2025 del 22 agosto 2025</w:t>
      </w:r>
    </w:p>
    <w:p>
      <w:pPr>
        <w:pStyle w:val="Heading2"/>
      </w:pPr>
      <w:r>
        <w:t>Erwägungen</w:t>
      </w:r>
    </w:p>
    <w:p>
      <w:r>
        <w:rPr>
          <w:b/>
        </w:rPr>
        <w:t>E. 1</w:t>
      </w:r>
    </w:p>
    <w:p>
      <w:r>
        <w:t>A/354/2025 - 4/10 -</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rPr>
          <w:b/>
        </w:rPr>
        <w:t>E. 1.2</w:t>
      </w:r>
    </w:p>
    <w:p>
      <w:r>
        <w:t>Sa compétence pour juger du cas d’espèce est ainsi établie.</w:t>
      </w:r>
    </w:p>
    <w:p>
      <w:r>
        <w:rPr>
          <w:b/>
        </w:rPr>
        <w:t>E. 1.3</w:t>
      </w:r>
    </w:p>
    <w:p>
      <w:r>
        <w:t>Interjeté dans la forme et le délai prescrits le recours est recevable (art. 60 et 61 let. b LPGA, art. 43 LPCC).</w:t>
      </w:r>
    </w:p>
    <w:p>
      <w:r>
        <w:rPr>
          <w:b/>
        </w:rPr>
        <w:t>E. 2</w:t>
      </w:r>
    </w:p>
    <w:p>
      <w:r>
        <w:t>Il convient en premier lieu de déterminer l’objet du litige.</w:t>
      </w:r>
    </w:p>
    <w:p>
      <w:r>
        <w:rPr>
          <w:b/>
        </w:rPr>
        <w:t>E. 2.1</w:t>
      </w:r>
    </w:p>
    <w:p>
      <w:r>
        <w:t>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122 V 34 consid. 2a ; 122 V 242 consid. 2a ; 1; 117 V 294 consid. 2a ; 112 V 97 consid. 1a et les références).</w:t>
      </w:r>
    </w:p>
    <w:p>
      <w:r>
        <w:rPr>
          <w:b/>
        </w:rPr>
        <w:t>E. 2.2</w:t>
      </w:r>
    </w:p>
    <w:p>
      <w:r>
        <w:t>En l’espèce, les griefs du recourant portant sur la prise en compte, dans le calcul des prestations complémentaires, des allocations familiales et du revenu hypothétique du conjoint sont nouveaux, puisqu’ils n’ont été soulevés ni dans la procédure d’opposition, ni dans l’acte de recours. Cela étant, le rapport juridique visé est dans les deux cas le calcul des prestations dues au recourant, et plus particulièrement le calcul du revenu déterminant. Rien ne s’oppose donc à ce que les nouveaux griefs du recourant à l’encontre dudit calcul soient examinés par la chambre de céans, d’autant que cette dernière dispose d’un plein pouvoir d’examen (cf. ATAS/689/2017 du 21 août 2017 consid. 12b ; ATAS/1330/2014 du 19 décembre 2014 consid. 5c).</w:t>
      </w:r>
    </w:p>
    <w:p>
      <w:r>
        <w:rPr>
          <w:b/>
        </w:rPr>
        <w:t>E. 3</w:t>
      </w:r>
    </w:p>
    <w:p>
      <w:r>
        <w:t>Le litige porte sur le calcul du droit du recourant aux prestations complémentaires à compter du 1er août 2024, en particulier sur la question de la prise en compte du</w:t>
      </w:r>
    </w:p>
    <w:p>
      <w:r>
        <w:t>A/354/2025 - 5/10 - montant des allocations familiales, du revenu hypothétique de sa conjointe et son épargne dans son revenu déterminant.</w:t>
      </w:r>
    </w:p>
    <w:p>
      <w:r>
        <w:rPr>
          <w:b/>
        </w:rPr>
        <w:t>E. 3.1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l’assurance-invalidité conformément à l'art. 4 al. 1 let. c LPC, ce qui est le cas du recourant.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un quinzième de la fortune nette dans la mesure où elle dépasse CHF 50'000.- pour les couples et CHF 15'000.- pour les enfants donnant droit à des rentes pour enfant de l’AVS ou de l’AI (art. 11 al. 1 let. c LPC) et les allocations familiales (art. 11 al. 1 let. f LPC). Selon l’art. 11a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Pour les conjoints qui n’ont pas droit aux prestations complémentaires, le revenu de l’activité lucrative est pris en compte à hauteur de 80 % (art. 11 al. 1 let. a LPC).</w:t>
      </w:r>
    </w:p>
    <w:p>
      <w:r>
        <w:rPr>
          <w:b/>
        </w:rPr>
        <w:t>E. 3.2</w:t>
      </w:r>
    </w:p>
    <w:p>
      <w:r>
        <w:t>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w:t>
      </w:r>
    </w:p>
    <w:p>
      <w:r>
        <w:rPr>
          <w:b/>
        </w:rPr>
        <w:t>E. 3.3</w:t>
      </w:r>
    </w:p>
    <w:p>
      <w:r>
        <w:t>Un revenu hypothétique du conjoint (non-invalide) d'un requérant de prestations complémentaires doit en principe également être pris en considération au titre de dessaisissement de revenu imputable dans le calcul des prestations complémentaires. Il faut cependant octroyer au conjoint selon la jurisprudence un délai de transition réaliste pour la prise exigible d'une activité lucrative ou l'augmentation du taux d'activité aussi bien lorsque des prestations sont en cours que dans le cadre d'une première demande de PC. Ce principe ne vaut pas lorsqu'au vu de l'obtention prévisible des PC par l'un des conjoints, en raison par exemple de l'accession à l'âge de la retraite AVS et de la cessation de l'activité</w:t>
      </w:r>
    </w:p>
    <w:p>
      <w:r>
        <w:t>A/354/2025 - 6/10 - lucrative, l'autre conjoint a disposé de suffisamment de temps pour une intégration professionnelle (ATF 142 V 12).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S’agissant du montant du revenu hypothétique à prendre en compte, il y a lieu de se référer aux tables de l'ESS, dont il convient de déduire les cotisations sociales obligatoires dues aux assurances sociales, et le cas échéant, les frais de garde des enfants (Directives concernant les prestations complémentaires à l’AVS et à l’AI [DPC], état au 1er janvier 2025, ch. 3521.08). Le revenu net ainsi obtenu est pris en compte à hauteur de 80 % (art. 11 al. 1 let. a LPC par renvoi de l'art. 11a al. 1 LPC). Il convient de se fonder, en règle générale, sur les salaires mensuels indiqués dans la table TA1, à la ligne « total secteur privé » ; on se réfère alors à la statistique des salaires bruts standardisés, en se fondant toujours sur la valeur médiane ou centrale (ATF 143 V 295 consid. 4 ; arrêt du Tribunal fédéral 8C_655/2016 du 4 août 2017 consid. 6.3). Ce salaire statistique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Aucun revenu hypothétique n’est pris en compte dans les situations suivantes : malgré tous leurs efforts, le bénéficiaire de PC ou son conjoint ne trouve aucun emploi ; (i) cette hypothèse est considérée comme réalisée lorsque la personne concernée est adressée à un ORP, qu’elle peut justifier du nombre de candidatures demandé par l’ORP et que ces candidatures respectent les exigences de l’ORP ; les organes PC peuvent déléguer à l’ORP le suivi et le contrôle des recherches d’emploi et sont, dans ce cas, libérés de l’obligation de contrôler ces recherches ; (ii) le bénéficiaire de PC ou son conjoint touchent des allocations de chômage ; (iii) le conjoint non invalide a atteint l’âge de 60 ans et est arrivé en fin de droit dans l’assurance-chômage ; les exigences relatives aux efforts d’intégration s’appliquent alors à cette personne ; (iv) sans l’assistance et les soins de son conjoint non invalide, le bénéficiaire de PC devrait être placé dans un home ; (v) les veuves et les veufs ont des enfants mineurs (ch. 3521.14 DPC) .</w:t>
      </w:r>
    </w:p>
    <w:p>
      <w:r>
        <w:rPr>
          <w:b/>
        </w:rPr>
        <w:t>E. 3.4</w:t>
      </w:r>
    </w:p>
    <w:p>
      <w:r>
        <w:t>Lorsqu’un revenu hypothétique d’activité lucrative doit être pris en compte au sens des ch. 3521.02ss, lequel justifierait l’octroi d’allocations familiales, les allocations qui seraient ainsi dues sont entièrement prises en compte dans les revenus (ch. 3522.01 DPC).</w:t>
      </w:r>
    </w:p>
    <w:p>
      <w:r>
        <w:t>A/354/2025 - 7/10 - Selon la jurisprudence, les allocations familiales font également partie des sources de revenus qui doivent être épuisées avant l'octroi d'une prestation complémentaire. Selon l'art. 11 al. 1 let. f LPC, il faut tenir compte d'un revenu hypothétique à hauteur des allocations familiales auxquelles on a renoncé. En particulier, un ayant droit aux allocations familiales est réputé avoir renoncé à un revenu s'il ne fait pas valoir son droit aux allocations familiales ou le fait tardivement, s'il renonce à une allocation familiale en cours, s'il se comporte à l'égard de l'institution versant les allocations familiales de telle sorte qu'il ne reçoit pas d'allocations familiales ou seulement des allocations familiales réduites à titre de sanction, par exemple à la suite d'une violation de l'obligation de collaborer selon l'art. 43 al. 3 LPGA, ou s'il ne se défend pas contre son employeur qui ne lui transmet pas les allocations familiales en violation de son obligation (Ralph JÖHL/Patricia USINGER-EGGER, Ergänzungsleistungen zur AHV/IV in Schweizerisches Bundesverwaltungsrecht [SBVR], Band XIV, Soziale Sicherheit, 3e éd. 2016, n 198-199).</w:t>
      </w:r>
    </w:p>
    <w:p>
      <w:r>
        <w:rPr>
          <w:b/>
        </w:rPr>
        <w:t>E. 3.5</w:t>
      </w:r>
    </w:p>
    <w:p>
      <w:r>
        <w:t>Selon l’art. 7A de la loi sur les allocations familiales du 1er mars 1996 (LAF - J 5 10), l’allocation de formation est une prestation mensuelle ; elle est octroyée à partir du début du mois au cours duquel l’enfant commence une formation postobligatoire, mais au plus tôt à partir du début du mois au cours duquel il atteint l’âge de 15 ans (al. 1). L’allocation de formation est versée jusqu’à la fin de la formation de l’enfant, mais au plus tard jusqu’à la fin du mois au cours duquel il atteint l’âge de 25 ans (al. 3). Selon l’art. 8 al. 3 LAF, l'allocation de formation est de CHF 400.- par mois. Ce montant est indexé chaque année en fonction de l'indice genevois des prix à la consommation (art. 8 al. 6 LAF). Dès le 1er janvier 2023, le montant de l'allocation de formation est passé à CHF 415.- (disponible sur https://www.ge.ch/actualite/indexation-montants-allocations-familiales-2023-10- 11-2022). Selon l'art. 10 al. 1 LAF, les allocations sont versées dès le premier jour du mois au cours duquel le droit a pris naissance et jusqu'à la fin du mois dans lequel le droit s'éteint. Selon le chiffre 205.2 des directives pour l'application de la loi sur les allocations familiales LAFam (DAFam) édictées par l'Office fédéral des assurances sociales, dans son état au 1er janvier 2023 ici applicable (en lien avec l'art. 2B let. a LAF), le droit à l'allocation expire notamment à la fin du mois au cours duquel la formation s’achève ou est interrompue.</w:t>
      </w:r>
    </w:p>
    <w:p>
      <w:r>
        <w:rPr>
          <w:b/>
        </w:rPr>
        <w:t>E. 3.6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A/354/2025 - 8/10 -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3.7</w:t>
      </w:r>
    </w:p>
    <w:p>
      <w:r>
        <w:t>Devant la chambre de céans, le recourant conteste la prise en compte, dans le calcul de ses prestations complémentaires, du revenu hypothétique de son épouse, des allocations familiales et des éléments de sa fortune. En l’occurrence, la décision entreprise tient compte d’un revenu hypothétique de la conjointe du recourant de CHF 50'538.90. Âgée de 49 ans au moment de la décision litigieuse, l’intéressée, ressortissante suisse maîtrisant le français, était présumée employable. Il ne résulte pas du dossier qu’elle était affectée de problèmes de santé l’empêchant de travailler. Le recourant n’allègue pas qu’elle aurait entrepris, en vain, des démarches pour trouver un emploi, ni n’établit que sans sa présence continue à ses côtés, il devrait être placé dans un home ou un établissement hospitalier. L’intéressée ne se trouve donc pas dans l’un des cas de figure permettant de renoncer à la prise en compte d’un revenu hypothétique. Le recourant allègue certes que son épouse n’a jamais exercé d’activité professionnelle et n’a pas de formation. Il ressort toutefois de la décision entreprise, et des explications de l’intimé devant la chambre de céans, que le revenu hypothétique est fondé sur le salaire statistique, soit la table TA1 (2020), à la ligne « total », pour une femme travaillant dans une activité de niveau 1, ce qui recouvre un large éventail d’activités variées et non qualifiées (branche d’activités), n’impliquant pas de formation particulière. On peut certes se demander si, compte tenu de son âge, de son manque d’expérience professionnelle et de son séjour à l’étranger, une période d’adaptation aurait dû lui être accordée à son retour en Suisse en janvier 2024. Cette question excède toutefois l’objet du litige puisque la décision entreprise porte sur la période à compter du 1er août 2024. Or, à ce moment-là, cela faisait six mois que l’épouse du recourant était en Suisse, ce qui représente un temps d’adaptation suffisant pour que cette dernière puisse se mettre à exercer une activité lucrative. Aussi, la décision de l’intimé de tenir compte d’une exigibilité de travailler et d’un revenu hypothétique à compter du 1er août 2024 ne prête pas le flanc à la critique. Le recourant reproche également à l’intimé d’avoir tenu compte d’allocations familiales à hauteur de CHF 4'980.- à compter du 1er août 2024, alors qu’il n’en</w:t>
      </w:r>
    </w:p>
    <w:p>
      <w:r>
        <w:t>A/354/2025 - 9/10 - percevait pas. Il ressort de l’attestation de scolarité que C______ est inscrit au CFP Arts pour l’année scolaire 2024-2025. L’allocation de formation étant versée jusqu’à la fin de la formation de l’enfant, mais au plus tard jusqu’à la fin du mois au cours duquel il atteint l’âge de 25 ans, c’est à juste titre que l’intimé a pris en considération une allocation de formation de CHF 4'980.- (CHF 415.- x 12 ; cf. art. 36E al. 1 let. c LPCC) dès août 2024. Le recourant allègue certes avoir interpellé le SPC au sujet de son droit aux allocations familiales. Or, outre le fait que cette allégation n’est étayée par aucune pièce au dossier, une telle démarche ne serait, quoi qu’il en soit, pas suffisante au regard de la jurisprudence précitée, pour admettre qu’il a entrepris, en vain, tous les efforts que l'on pouvait attendre de lui pour faire valoir son droit aux allocations familiales. Il convient donc de confirmer la décision entreprise en tant qu’elle tient compte, à titre de revenu dessaisi, du montant des allocations familiales. Enfin, le recourant se plaint de ce que la bourse d’étude obtenue par son fils aurait été prise en compte dans le calcul des prestations complémentaires. Il ressort toutefois du plan de calcul des prestations complémentaires que la fortune du groupe familial était inférieure à la franchise légale de CHF 65'000.- pour un couple avec un enfant, si bien qu’elle n’a pas été prise en compte dans le calcul des prestations (cf. art. 11 al. 1 let. c LPC). Ce grief doit partant également être rejeté.</w:t>
      </w:r>
    </w:p>
    <w:p>
      <w:r>
        <w:rPr>
          <w:b/>
        </w:rPr>
        <w:t>E. 4</w:t>
      </w:r>
    </w:p>
    <w:p>
      <w:r>
        <w:t>Les considérants qui précèdent conduisent au rejet du recours. La procédure est gratuite.</w:t>
      </w:r>
    </w:p>
    <w:p>
      <w:r>
        <w:t>******</w:t>
      </w:r>
    </w:p>
    <w:p>
      <w:r>
        <w:t>A/354/2025 - 10/10 -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