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ATAS/626/2022 vom 30. Juni 2022</w:t>
      </w:r>
    </w:p>
    <w:p>
      <w:r>
        <w:t>GE Cour de justice, 2022-06-30, FR</w:t>
      </w:r>
    </w:p>
    <w:p>
      <w:r>
        <w:rPr>
          <w:b/>
        </w:rPr>
        <w:t xml:space="preserve">Quelle: </w:t>
      </w:r>
      <w:r>
        <w:t>https://mcp.opencaselaw.ch/entscheid/ge_gerichte_ATAS_626_2022</w:t>
      </w:r>
    </w:p>
    <w:p>
      <w:r>
        <w:t>FR: GE_GERICHTE ATAS/626/2022 du 30 juin 2022</w:t>
      </w:r>
    </w:p>
    <w:p>
      <w:r>
        <w:t>IT: GE_GERICHTE ATAS/626/2022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Elle est ainsi applicable au litige, dès lors que le recours n’était pas encore pendant à cette date (art. 82a LPGA a contrario).</w:t>
      </w:r>
    </w:p>
    <w:p>
      <w:r>
        <w:t>A/2876/2021 - 7/17 - Quant aux modifications de la LAI du 19 juin 2020, entrées en vigueur le 1er janvier 2022, elles ne sont pas applicables. En effet, en cas de changement de règles de droit, la législation applicable est en principe celle en vigueur au moment où les faits juridiquement déterminants se sont produits (ATF 144 V 210 consid. 4.3.1).</w:t>
      </w:r>
    </w:p>
    <w:p>
      <w:r>
        <w:rPr>
          <w:b/>
        </w:rPr>
        <w:t>E. 3</w:t>
      </w:r>
    </w:p>
    <w:p>
      <w:r>
        <w:t>Déposé dans les forme et délai prévus par la loi (art. 56ss LPGA), le recours est recevable.</w:t>
      </w:r>
    </w:p>
    <w:p>
      <w:r>
        <w:rPr>
          <w:b/>
        </w:rPr>
        <w:t>E. 4</w:t>
      </w:r>
    </w:p>
    <w:p>
      <w:r>
        <w:t>Le litige, tel que circonscrit par les conclusions du recours, porte sur le droit de la recourante à une rente d’invalidité.</w:t>
      </w:r>
    </w:p>
    <w:p>
      <w:r>
        <w:rPr>
          <w:b/>
        </w:rPr>
        <w:t>E. 5</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w:t>
      </w:r>
    </w:p>
    <w:p>
      <w:r>
        <w:rPr>
          <w:b/>
        </w:rPr>
        <w:t>E. 6</w:t>
      </w:r>
    </w:p>
    <w:p>
      <w:r>
        <w:t>La loi prévoit différentes méthodes pour évaluer l'invalidité d'un assuré en fonction du statut de ce dernier.</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 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d'invalide de l'assuré, il y a lieu en l'absence d'un revenu effectivement réalisé de se référer aux</w:t>
      </w:r>
    </w:p>
    <w:p>
      <w:r>
        <w:t>A/2876/2021 - 8/17 -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comme en l’espèce (arrêt du Tribunal fédéral 9C_842/2018 du</w:t>
      </w:r>
    </w:p>
    <w:p>
      <w:r>
        <w:rPr>
          <w:b/>
        </w:rPr>
        <w:t>E. 6.2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w:t>
      </w:r>
    </w:p>
    <w:p>
      <w:r>
        <w:t>A/2876/2021 - 9/17 - la personne chargée de l'enquête à domicile de reconnaître et d'apprécier l'ampleur de l'atteinte psychique et les empêchements en résultant (arrêt du Tribunal fédéral 9C_925/2013 du 1er avril 2014 consid. 2.2).</w:t>
      </w:r>
    </w:p>
    <w:p>
      <w:r>
        <w:rPr>
          <w:b/>
        </w:rPr>
        <w:t>E. 6.3</w:t>
      </w:r>
    </w:p>
    <w:p>
      <w:r>
        <w:t>Pour déterminer la méthode applicable à un cas particulier, il faut selon la jurisprudence se demander ce que l’assuré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w:t>
      </w:r>
    </w:p>
    <w:p>
      <w:r>
        <w:rPr>
          <w:b/>
        </w:rPr>
        <w:t>E. 7</w:t>
      </w:r>
    </w:p>
    <w:p>
      <w:r>
        <w:t>mars 2019 consid. 5.1 et 5.2).</w:t>
      </w:r>
    </w:p>
    <w:p>
      <w:r>
        <w:rPr>
          <w:b/>
        </w:rPr>
        <w:t>E. 7.1</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w:t>
      </w:r>
    </w:p>
    <w:p>
      <w:r>
        <w:t>A/2876/2021 - 10/17 -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7.5</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w:t>
      </w:r>
    </w:p>
    <w:p>
      <w:r>
        <w:t>A/2876/2021 - 11/17 -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w:t>
      </w:r>
    </w:p>
    <w:p>
      <w:r>
        <w:rPr>
          <w:b/>
        </w:rPr>
        <w:t>E. 7.6</w:t>
      </w:r>
    </w:p>
    <w:p>
      <w:r>
        <w:t>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En l’espèce, l’intimé a nié le droit à la rente de la recourante, retenant que celle-ci avait un statut de ménagère et ne rencontrait, à dires d’experts, pas d’empêchements dans la sphère ménagère.</w:t>
      </w:r>
    </w:p>
    <w:p>
      <w:r>
        <w:rPr>
          <w:b/>
        </w:rPr>
        <w:t>E. 8.1</w:t>
      </w:r>
    </w:p>
    <w:p>
      <w:r>
        <w:t>S’agissant du statut, l’intimé s’est référé à une mention dans le rapport de la Dresse C______ du 23 juin 2020 pour conclure que l'assurée avait renoncé à toute activité lucrative par choix familial en 2013. Cette conclusion ne résiste pas à l’examen. S’agissant du procédé d’abord, on observe que l’intimé n’a jamais interpellé la recourante sur cette question, ce qui est pour le moins regrettable, dès lors que le statut s’apprécie entre autres en fonction des aspirations d’un assuré et qu’il s’agit dans ce cadre de déterminer sa volonté hypothétique, afin de définir quel aurait été son parcours professionnel sans atteinte à la santé. C’est en vain que l’intimé invoque le principe des déclarations de la première heure. Selon cette maxime, en cas de déclarations successives de l'intéressé contradictoires entre elles,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Or, précisément, l’interprétation de l’intimé ne repose sur aucune déclaration émanant directement de la recourante, ni même sur une déclaration censée avoir été rapportée verbatim par un tiers, mais sur une partie de phrase dans un rapport de la psychiatre, dont l’intimé subodore qu’elle "doit correspondre aux informations données" par la recourante à cette thérapeute. Cette manière de faire surprend d’autant plus que l’intimé a lui-même souligné dans son écriture du 30 septembre 2021 qu’il n’appartient pas aux médecins de déterminer le statut d'un assuré. D'une part, on ne peut exclure que cette indication ne traduise pas fidèlement les propos réellement tenus. D'autre part, cet extrait du</w:t>
      </w:r>
    </w:p>
    <w:p>
      <w:r>
        <w:t>A/2876/2021 - 12/17 - rapport de la Dresse C______ n’a pas la portée que lui prête l’intimé. Il n’est en effet pas assez explicite pour en inférer une renonciation volontaire à une activité lucrative par convenance personnelle. La mention des longs trajets par la psychiatre – à mettre en lien avec leur incidence sur l’état de santé de la recourante alors qu’elle était enceinte, évoquée par la Dresse B______ – suggère en effet que celle-ci a cessé son travail de secrétaire pour ce motif également, soit pour des raisons de santé. On ajoutera que, même à supposer que la recourante ait eu un statut de ménagère au sens de l’assurance-invalidité en 2013, il ne s’agit pas là d’un paramètre immuable. D'autant moins qu'elle a repris une activité lucrative en tant que maman de jour en 2014, qu’elle n’a pu poursuivre en raison d’une incapacité de travail – soit en raison de son état de santé et non par choix. L'assurée a en outre évoqué face à tous les experts son souhait de reprendre une activité lucrative, si son état de santé le lui permettait. Il n’existe aucune raison de mettre en doute l’authenticité de ses déclarations sur ce point, émises alors qu’elle ignorait encore le statut décidé par l’intimé. Le Dr G______ semble du reste également suggérer une volonté de réintégrer le marché du travail dans son rapport du 11 novembre 2019. On relèvera au surplus qu'en 2018, la recourante s’est séparée de son époux et qu'elle dépend depuis de l’assistance de l’Hospice général. Partant, au vu de ses déclarations, de son parcours personnel et de ses finances, il est plus que vraisemblable que, sans problèmes de santé, elle aurait exercé une activité professionnelle pour subvenir à ses besoins. Le fait qu’elle soit mère de trois enfants encore assez jeunes ne permet pas d’aboutir à une autre conclusion, dès lors que l'intéressée a travaillé à plein temps alors même que ses enfants étaient encore petits. Compte tenu de ces éléments, on doit admettre au degré de la vraisemblance prépondérante que, sans atteinte à sa santé, la recourante aurait exercé une activité lucrative à temps plein, si bien qu’il faut lui reconnaître un statut d’active à 100%. Dans ces circonstances, il n’est pas utile de revenir sur le fait que l’intimé n’a pas mis en œuvre d’enquête ménagère.</w:t>
      </w:r>
    </w:p>
    <w:p>
      <w:r>
        <w:rPr>
          <w:b/>
        </w:rPr>
        <w:t>E. 8.2</w:t>
      </w:r>
    </w:p>
    <w:p>
      <w:r>
        <w:t>En ce qui concerne la capacité de travail et de gain de la recourante, les experts l’ont estimée réduite de 50% dans l’ancienne activité de secrétaire, eu égard aux troubles psychiques.</w:t>
      </w:r>
    </w:p>
    <w:p>
      <w:r>
        <w:rPr>
          <w:b/>
        </w:rPr>
        <w:t>E. 8.2.1</w:t>
      </w:r>
    </w:p>
    <w:p>
      <w:r>
        <w:t>Dans leur évaluation consensuelle, les experts ont résumé le dossier médical de la recourante et relaté son anamnèse. Dans ce cadre, ils ont noté qu’une IRM du rachis lombo-sacré du 17 janvier 2020 s’était révélée normale et que les radiographies du rachis lombo-sacré du 17 janvier 2020 avaient uniquement mis en évidence une discopathie dégénérative débutante en L3-L4. Ils ont rapporté les plaintes de la recourante et leurs observations cliniques. La recourante rencontre des problèmes de poids depuis la fin de l'adolescence, avec des fluctuations importantes. Lors de l'expertise, une prise en charge diététique était en cours depuis environ un an, ainsi qu'un suivi par un chirurgien plastique pour prendre en charge un excès de peau au niveau abdominal ayant des</w:t>
      </w:r>
    </w:p>
    <w:p>
      <w:r>
        <w:t>A/2876/2021 - 13/17 - répercussions sur l’image corporelle de l'assurée. Des problèmes digestifs existant depuis l'enfance ont été investigués, sans révéler de troubles. La recourante souffre également de troubles urinaires depuis son troisième accouchement, une rééducation spécialisée ayant permis d'améliorer nettement la situation. Enfin, elle présente des troubles auditifs avec des acouphènes depuis l'enfance. Elle a commencé à souffrir d’une lombo-sciatique à l’adolescence, mais son état s’est dégradé au cours de sa dernière grossesse en 2015, avec une diffusion des douleurs à la nuque et aux mains. En mars 2017, un diagnostic de fibromyalgie a été posé. Les antalgiques prescrits ont apporté un bénéfice partiel. Lors de l'expertise, la recourante se plaignait de douleurs diffuses, fluctuantes, de fourmillements des mains et des pieds et de douleurs rachidiennes. Le simple effleurement de la peau était ressenti comme douloureux. La recourante limitait au maximum les activités ménagères et les embrassades avec ses enfants. Elle était aidée par une amie, qui venait essentiellement le week-end. L'assurée a été décrite comme légèrement démonstrative lors de l'examen clinique. La palpation légère déclenchait des douleurs intenses, accompagnées de pleurs, que rien n'expliquait et qui dépassaient le cadre de la fibromyalgie telle qu'habituellement décrite. L'examen neurologique permettait d'éliminer un diagnostic de syndrome significatif du tunnel carpien et de sciatique. Les examens radiographiques récents du rachis montraient des lésions banales pour l'âge, avec essentiellement une discopathie modérée L3-L4, un trouble statique lombaire avec hyperlordose, et une antéversion du bassin dans un contexte d'obésité et de relâchement de la sangle musculaire abdominale, qui expliquaient les douleurs alléguées. Une évaluation neuropsychologique en janvier 2019 aux HUG avait mis en évidence une inattention, une impulsivité, et des fluctuations de la vigilance, mais pas d'indice en faveur d'un trouble de l'attention soutenue au sens strict. L’évaluation de M. L______ confirmait un profil similaire, auquel s'ajoutaient des troubles de l'inhibition et de la flexibilité (fonctions exécutives) et un déficit en mémoire épisodique. Il y avait toutefois des indicateurs d'exagération de symptômes lors de plusieurs tests. En lien avec son divorce, la recourante avait visiblement décompensé sur le plan psychique sous une forme anxio-dépressive. Les médecins traitants avaient relevé un parcours problématique, avec de multiples abus, notamment sur le plan sexuel. Durant la crise de 2018, la recourante a arrêté toute activité extérieure. Elle a entrepris une démarche thérapeutique, qui lui a notamment permis d’affirmer son homosexualité, élément positif dans une vie autrement décrite comme problématique, lourde, marquée par la dépression, l’anxiété et le syndrome douloureux (fibromyalgie).</w:t>
      </w:r>
    </w:p>
    <w:p>
      <w:r>
        <w:t>A/2876/2021 - 14/17 -</w:t>
      </w:r>
    </w:p>
    <w:p>
      <w:r>
        <w:rPr>
          <w:b/>
        </w:rPr>
        <w:t>E. 8.2.2</w:t>
      </w:r>
    </w:p>
    <w:p>
      <w:r>
        <w:t>S’agissant des diagnostics qualifiés de probables seulement, les experts ont précisé qu’on ne pouvait pas retenir de diagnostic neuropsychologique, du fait des signes d'exagération de symptômes. On objectivait des troubles exécutifs, attentionnels et mnésiques compatibles avec un diagnostic de trouble de l’attention, mais on ne pouvait pas quantifier précisément les atteintes, ni se prononcer sur leur intensité réelle. Partant, on ne pouvait définir une incapacité de travail, qui était ainsi réputée nulle dans l'activité antérieure. S’agissant du trouble de la personnalité, évalué par les HUG notamment sur la base d'une grille spécifique, il y avait essentiellement des éléments auto-agressifs - scarifications et autres - assez significatifs. Il était cependant difficile de déterminer rétroactivement dans quelle mesure ce trouble existait auparavant, et son impact clinique. Compte tenu de la biographie, on pouvait retenir une structuration problématique, probablement incomplète, avec des lacunes et des carences importantes. S’agissant du diagnostic de trouble d'hyperactivité et de l'attention, il n’était pas non plus véritablement clarifié. De plus, cette symptomatologie pouvait être réduite par le traitement, et elle pouvait être assez subjective, comme c’était le cas ici. Lors de l'examen, la recourante était sans médication spécifique (Ritaline®), et le taux sérique de ce médicament était largement en-dessous du seuil thérapeutique lors du monitoring deux semaines plus tôt. Il était donc inefficace. Or, une bonne compensation pouvait être attendue d’un traitement appliqué. En ce qui concernait les troubles cognitifs allégués, la recourante était normalement présente et fonctionnelle lors des entretiens avec plusieurs examinateurs. En revanche, lors des tests spécifiques, des fortes variations des performances, des incohérences et exagérations avaient été constatées, ce qui ne pouvait pas, à tout le moins pas entièrement, être attribué aux problèmes affectifs. Une certaine atteinte demeurait sur le plan psychique, essentiellement sous forme d'un état dépressif de moyenne intensité et d’une instabilité émotionnelle en général. En parallèle, un certain nombre de symptômes du registre anxieux, un peu polymorphes, variables selon les situations, d'intensité légère, étaient constatés. Ils étaient assez proches du descriptif par la recourante de son quotidien, sans inhibition majeure. L’essentiel de ses activités était centré sur ses enfants et son ménage. Elle s’occupait de ses tâches avec beaucoup d'efforts, de manière fractionnée, mais tout de même correctement. Ses problèmes psychiques avaient peu de répercussions sur ce plan et elle était à cet égard fonctionnelle à 100%. Elle avait déclaré à tous les experts lors des examens individuels qu’elle avait envie de chercher une activité professionnelle extérieure, mais qu’elle ne s’y sentait pas prête. Le probable trouble borderline pouvait avoir une incidence, actuellement sous forme d’instabilité générale.</w:t>
      </w:r>
    </w:p>
    <w:p>
      <w:r>
        <w:rPr>
          <w:b/>
        </w:rPr>
        <w:t>E. 8.2.3</w:t>
      </w:r>
    </w:p>
    <w:p>
      <w:r>
        <w:t>Les ressources étaient faibles, mais existantes, notamment grâce à sa relation avec son amie. S’agissant de la cohérence, il y avait une divergence concernant la</w:t>
      </w:r>
    </w:p>
    <w:p>
      <w:r>
        <w:t>A/2876/2021 - 15/17 - fatigue subjectivement ressentie et les observations. En effet, il n'y avait ni bâillement, ni signe d'hypovigilance. La recourante avait pu garder le focus pendant toute la durée de l'expertise. L'échelle de somnolence d'Hepworth était légèrement perturbée, mais il ne semblait pas à l'expert que cela soit en rapport avec un éventuel syndrome d’apnées du sommeil sous-jacent. Le taux de ferritine dosé était normal et ne permettait pas non plus d'expliquer cette fatigue. Une divergence concernant un éventuel syndrome du tunnel carpien bilatéral évoqué par le Dr M______ était notée, l’expertise ne retrouvant aucun signe en faveur d'un tel diagnostic. Il y avait également sur le plan de la médecine générale une nette divergence entre les symptômes décrits, les observations médicales objectives, la réalité des lésions radiologiques et les activités quotidiennes rapportées. Il existait de légères divergences entre les troubles cognitifs allégués et les constats cliniques.</w:t>
      </w:r>
    </w:p>
    <w:p>
      <w:r>
        <w:rPr>
          <w:b/>
        </w:rPr>
        <w:t>E. 8.3</w:t>
      </w:r>
    </w:p>
    <w:p>
      <w:r>
        <w:t>L’expertise des Drs I______, H______, J______ et de M. L______ satisfait tous les réquisits jurisprudentiels en matière de rapports médicaux. Elle a en effet été rédigée sur la base d’un dossier complet et d’examens cliniques poussés, l’anamnèse est fouillée et les diagnostics et les conclusions que les experts en tirent sont discutés et motivés. Ces experts se prononcent également sur les indicateurs développés par la jurisprudence en matière de troubles douloureux sans substrat organique et de troubles psychiques, notamment s’agissant de la cohérence et des ressources. Partant, leur expertise doit se voir reconnaître une pleine valeur probante. On relèvera du reste que le Dr E______, dans le courrier adressé à l’intimé, s’en est pris avant tout au statut retenu par l’intimé plutôt qu’à l’appréciation de la capacité de travail par les experts. Il faut par ailleurs relever qu’aucun médecin traitant n’a attesté une incapacité de travail en raison uniquement de problèmes somatiques, ce qui tend à corroborer les appréciations des Drs H______ et I______. Ces derniers ont en outre dûment tenu compte des problèmes de dos, d’incontinence et d’audition dans les limitations fonctionnelles qu’ils ont décrites. Aux plans psychique et neuropsychologique, les troubles rapportés par le Dr G______ ont également été pris en compte par les experts, qui ont évalué de manière convaincante leurs répercussions sur la capacité de travail. Ces derniers n’ont ainsi nullement ignoré la réalité clinique de la recourante. On relèvera d’ailleurs que dans son attestation de novembre 2019, le Dr G______ semblait justifier l’impossibilité pour la recourante de reprendre une activité lucrative de la recourante avant tout par l’investissement temporel qu’exigeait la thérapie, plus que par ses troubles psychiques en tant que tels. On notera également que l’évaluation du Dr J______ n’est en définitive pas très éloignée de celles des psychiatres traitants s’agissant de l’incidence des troubles psychiques sur la capacité de travail. En ce qui concerne le trouble borderline, la Dresse D______ notait en effet que son expression était légère en janvier 2019, ce qui est compatible avec les conclusions de l’expert psychiatre. De plus, le Dr G______ a</w:t>
      </w:r>
    </w:p>
    <w:p>
      <w:r>
        <w:t>A/2876/2021 - 16/17 - admis en 2020 que la capacité de travail serait susceptible de s’améliorer dans l’année qui suivait, et la Dresse C______ avait retenu en juin 2020 qu’une activité adaptée à 50% pourrait être envisagée un à deux ans plus tard. Au vu de ces éléments, la capacité de travail de 50% admise par l’expert psychiatre n’apparaît pas critiquable. La date dès laquelle cette capacité de travail est exigible, soit juillet 2018, n’a pas d’incidence concrète ici, eu égard au fait que la demande de prestations n’a été déposée qu’en 2020. On soulignera enfin que la capacité de travail définie par les experts correspond à l’estimation de la capacité de travail par le Dr E______ du 19 mars 2020. La Cour de céans se ralliera ainsi aux conclusions des experts, selon lesquelles la recourante dispose d’une capacité de travail résiduelle de 50% depuis juillet 2018 dans son activité habituelle de secrétaire, adaptée à ses limitations fonctionnelles. Au sujet de l’incidence des troubles auditifs, il faut noter d’une part, qu’un tel poste n’expose pas nécessairement à un environnement bruyant et, d’autre part, que l’expert I______ a noté que l’octroi d’appareils auditifs – postérieur à son examen – permettrait de pallier bon nombre de difficultés liées aux exigences d’une telle activité.</w:t>
      </w:r>
    </w:p>
    <w:p>
      <w:r>
        <w:rPr>
          <w:b/>
        </w:rPr>
        <w:t>E. 9</w:t>
      </w:r>
    </w:p>
    <w:p>
      <w:r>
        <w:t>Il reste à examiner le droit à la rente de la recourante. Compte tenu de sa capacité résiduelle dans son activité habituelle, il n’est pas nécessaire, conformément à la jurisprudence, de procéder à une comparaison chiffrée des revenus. On peut ainsi admettre que son incapacité de gain se confond avec son incapacité de travail. Eu égard à son statut d’active à 100%, la recourante présente ainsi un degré d’invalidité de 50%. Son incapacité de travail étant survenue en juillet 2018 selon l’expertise, le délai de carence d’une année prévu à l’art. 28 LAI s’est achevé en juillet 2019. La demande de rente n’ayant été formulée que le 3 février 2020, c’est au plus tôt six mois après son dépôt, en vertu de l’art. 29 al. 1 LAI, que naît le droit à cette prestation, soit dès le 1er août 2020. La décision de l’intimé doit ainsi être réformée en ce sens.</w:t>
      </w:r>
    </w:p>
    <w:p>
      <w:r>
        <w:rPr>
          <w:b/>
        </w:rPr>
        <w:t>E. 10</w:t>
      </w:r>
    </w:p>
    <w:p>
      <w:r>
        <w:t>Le recours est partiellement admis. La recourante a droit à des dépens, fixés à CHF 2'000.- (art. 61 let. g LPGA). Une telle indemnité peut en effet être allouée à une partie sans conclusion expresse dans ce sens (ATF 118 V 139 consid. 3). La procédure en matière de contestations portant sur des prestations de l’assurance-invalidité n’étant pas gratuite, l’intimé supporte l’émolument de CHF 500.- (art. 69 al. 1bis LAI).</w:t>
      </w:r>
    </w:p>
    <w:p>
      <w:r>
        <w:t>A/2876/2021 - 17/17 -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