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ATAS/626/2011 vom 7. Juni 2011</w:t>
      </w:r>
    </w:p>
    <w:p>
      <w:r>
        <w:t>GE Cour de justice, 2011-06-07, FR</w:t>
      </w:r>
    </w:p>
    <w:p>
      <w:r>
        <w:rPr>
          <w:b/>
        </w:rPr>
        <w:t xml:space="preserve">Quelle: </w:t>
      </w:r>
      <w:r>
        <w:t>https://mcp.opencaselaw.ch/entscheid/ge_gerichte_ATAS_626_2011</w:t>
      </w:r>
    </w:p>
    <w:p>
      <w:r>
        <w:t>FR: GE_GERICHTE ATAS/626/2011 du 7 juin 2011</w:t>
      </w:r>
    </w:p>
    <w:p>
      <w:r>
        <w:t>IT: GE_GERICHTE ATAS/626/2011 del 7 giugno 2011</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Tant la LPGA, entrée en vigueur le 1er janvier 2003 et ayant entraîné la modification de nombreuses dispositions légales dans le domaine de l’assurance- invalidité, que les dispositions de la loi fédérale du 6 octobre 2006 (5ème révision AI), modifiant la LAI, entrée en vigueur le 1er janvier 2008 (RO 2007 5147), sont applicables en l’espèce dès lors que les faits juridiquement déterminants sont postérieurs à leurs entrées en vigueur (cf. ATF 130 V 446 et ss consid. 1, 129 V 4 consid. 1.2).</w:t>
      </w:r>
    </w:p>
    <w:p>
      <w:r>
        <w:rPr>
          <w:b/>
        </w:rPr>
        <w:t>E. 3</w:t>
      </w:r>
    </w:p>
    <w:p>
      <w:r>
        <w:t>Le délai de recours est de trente jours (art. 60 al.1 LPGA). Interjeté dans la forme et le délai prévus par la loi, le recours est recevable, en application des art. 56 et ss LPGA.</w:t>
      </w:r>
    </w:p>
    <w:p>
      <w:r>
        <w:rPr>
          <w:b/>
        </w:rPr>
        <w:t>E. 4</w:t>
      </w:r>
    </w:p>
    <w:p>
      <w:r>
        <w:t>Le litige porte sur l’évaluation de l’invalidité du recourant et sur son droit à des prestations de l’assurance invalidité, rente ou mesures de réadaptation professionnelle.</w:t>
      </w:r>
    </w:p>
    <w:p>
      <w:r>
        <w:rPr>
          <w:b/>
        </w:rPr>
        <w:t>E. 4.1</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gains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LAI).</w:t>
      </w:r>
    </w:p>
    <w:p>
      <w:r>
        <w:t>A/317/2009 - 14/20 -</w:t>
      </w:r>
    </w:p>
    <w:p>
      <w:r>
        <w:t>En vertu de l’art. 28 al. 1 LAI, l’assuré a droit à une rente entière s’il est invalide à 70% au moins, à un trois-quarts de rente s’il est invalide à 60% au moins, à une demi-rente s’il est invalide à 50% au moins ou à un quart de rente s’il est invalide à 40% au moins.</w:t>
      </w:r>
    </w:p>
    <w:p>
      <w:r>
        <w:t>Selon l’art. 28 al. 2 LAI en corrélation avec les art. 7 et 16 LPGA, la réadaptation a la priorité sur la rente dont l’octroi rentre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99 V 48).</w:t>
      </w:r>
    </w:p>
    <w:p>
      <w:r>
        <w:t>En particulier, le seuil minimum fixé par la jurisprudence pour ouvrir droit à une mesure de reclassement est une diminution de la capacité de gain de 20 % environ (ATF 124 V 110).</w:t>
      </w:r>
    </w:p>
    <w:p>
      <w:r>
        <w:rPr>
          <w:b/>
        </w:rPr>
        <w:t>E. 4.2</w:t>
      </w:r>
    </w:p>
    <w:p>
      <w:r>
        <w:t>En vertu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 que les conditions d’octroi des différentes mesures soient remplies (let. b). Lors de la fixation de ces mesures, il est tenu compte de la durée probable de la vie professionnelle restante (art. 8 al. 1bis LAI). Figurent au sein des mesures de réadaptation les mesures d’ordre professionnel (orientation professionnelle, formation professionnelle initiale, reclassement, placement, aide en capital) (art. 8 al. 3 let. b LAI). De plus, à compter du 1er janvier 2008, l’art. 7d al 2 let. d LAI indique que les offices AI peuvent ordonner des mesures d’orientation professionnelle, dans le cadre des mesures d’intervention précoces introduites par la 5ème révision de la LAI. L’assuré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120 V 108 consid. 2b, ULRICH MEYER-BLASER, Rechtsprechung des Bundesgerichts zum IVG, Zürich 1997, ad. Art. 17). La perte de gain est calculée selon les mêmes principes que ceux appliqués lors de la détermination du degré d’invalidité dans le cas du droit à une rente (Revue à l’attention des caisses de compensation (RCC) 1984, p. 95 ; VSI 200, p. 63). La rééducation dans la même profession est assimilée au reclassement (art. 17 al. 2 LAI). Selon l’art. 16 LPGA, la réadaptation est prioritaire par rapport à l’octroi de</w:t>
      </w:r>
    </w:p>
    <w:p>
      <w:r>
        <w:t>A/317/2009 - 15/20 - la rente, laquelle est versée dans la mesure où la réadaptation a échoué (cf. ATF 126 V 241,consid.5, 108 V 210 consid.1d). En règle générale, l’assuré a droit aux mesures nécessaires appropriées au but de sa réadaptation, mais non aux meilleures mesures possibles dans les circonstances de son cas car la loi ne peut garantir la réadaptation que dans la mesure où elle est nécessaire mais aussi suffisante dans le cas d’espèce (ATF 124 V 208, consid. 2b, VSI 2000, p. 26 ; VSI 2002, p. 109).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 de manière objective (ATF 113 V 28, consid. 4a, 109 V 28). Cela étant, lorsqu’il est clair d’emblée que l’exercice d’activités relativement variées est encore exigible de l’assuré, un renvoi général à un marché du travail équilibré, structuré de telle sorte qu’il offre un éventail d’emplois diversifiés, est suffisant (arrêt M. du 22.09.2006, cause I 636/06, consid. 3.2).</w:t>
      </w:r>
    </w:p>
    <w:p>
      <w:r>
        <w:rPr>
          <w:b/>
        </w:rPr>
        <w:t>E. 4.3</w:t>
      </w:r>
    </w:p>
    <w:p>
      <w:r>
        <w:t>Pour pouvoir calculer le degré d’invalidité, l’administration (ou le juge, s’il y a eu un recours) a besoin de documents que le médecin, éventuellement aussi d’autres spécialistes, doivent lui fournir. Les données médicales constituent un élément utile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de travail et de gain sur le marché du travail. Il appartient alors au médecin de décrire les activités que l’on peut encore raisonnablement attendre de l’assuré, compte tenu de ses atteintes à la santé (influence de ses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 SVR 2006 IV No 10, p. 39 (arrêt Z. du 26.10.2004, cause I 457/04), consid. 4.1. ; 2001 IV No 10 p. 27 (arrêt S. du 8.2.2000, cause I 362/1999 ; MEYER-BLASER, op. cit., p.228).</w:t>
      </w:r>
    </w:p>
    <w:p>
      <w:r>
        <w:t>A/317/2009 - 16/20 -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(ci-après : OFS).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126 V 76 et ss, consid. 3b/bb, 78 et 66, consid. 5). La mesure dans laquelle les salaires ressortant des statistiques doivent être réduits dépend de l’ensemble des circonstances personnelles et professionnelles du cas particulier (limitation lié au handicap, âge, années de service, nationalité/catégorie d’autorisation de séjour et taux d’occupation) et résulte d’une évaluation dans les limites du pouvoir d’appréciation.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ne les confrontant l’un avec l’autre, la différence permettant de calculer le taux d’invalidité (méthode générale de comparaison des revenus ; ATF 128 V 30, consid. 1 ; 104 V 136, consid. 2aet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 jusqu’au moment où la décision est rendue doivent être prises en compte (ATF 129 V 222 et 128 V 174).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l’OFS sur la base de statistiques salariales (ATF 126 V 75, consid. 3b/aa et bb). On se réfère alors à la statistique du salaire brut standardisé, en se fondant toujours sur la médiane ou la valeur centrale (ATF 124 V 323, consid. 3b/bb).</w:t>
      </w:r>
    </w:p>
    <w:p>
      <w:r>
        <w:t>A/317/2009 - 17/20 -</w:t>
      </w:r>
    </w:p>
    <w:p>
      <w:r>
        <w:rPr>
          <w:b/>
        </w:rPr>
        <w:t>E. 4.4</w:t>
      </w:r>
    </w:p>
    <w:p>
      <w:r>
        <w:t>Selon le principe de la libre-appréciation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Selon la jurisprudence et la doctrine, l’autorité administrative ou le juge ne doivent considérer un fait comme prouvé que lorsqu’ils sont convaincus de sa réalité (KUMMER, Grundriss des Zivilprozessrechts, IVème éd., Berne 1984, p. 136 ; GYGI, Bundesverwaltungsrechtspflege, IIème éd., ch.5., p. 278). Dans le domaine des assurances sociales, le juge fonde sa décision, sauf disposition contraire de la loi, sur les faits qui, faute d’être établis de manière irréfutable, apparaissent comme les plus vraisemblables, c’est-à-dire qu’ils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réf. ; ATF 120 III 324 et ss, consid. 3.2. et 3.3.). Aussi n’existe-t-il pas, en droit des assurances sociales, un principe selon lequel l’administration ou le juge devrait statuer dans le doute en faveur de l’assuré (ATF 126 V 322, consid. 5a).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réf. ; cf. ATF 130 I 183, consid. 3.2.). Selon la jurisprudence (DTA 2001, page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faits, ne viole ni le principe de simplicité et de rapidité de la procédure, ni le principe inquisitoire. Il en va cependant autrement quant un renvoi constitue en soi un déni de justice (par exemple, lorsque, en raison des circonstances, seule une expertise judiciaire ou une autre mesure probatoire judiciaire serait propre à établir l’état de faits), ou si un renvoi apparaît disproportionné dans le cas particulier (RAMA 1993 n° U 170, p. 136, 1989 n°K 809, page 206). A l’inverse, le renvoi à l’administration apparaît en général justifié si celle-ci a constaté les faits de façon sommaire, dans l’idée que</w:t>
      </w:r>
    </w:p>
    <w:p>
      <w:r>
        <w:t>A/317/2009 - 18/20 - le Tribunal les éclaircirait comme il convient en cas de recours (voir RAMA 1986 n°K 665, page 87).</w:t>
      </w:r>
    </w:p>
    <w:p>
      <w:r>
        <w:rPr>
          <w:b/>
        </w:rPr>
        <w:t>E. 4.5</w:t>
      </w:r>
    </w:p>
    <w:p>
      <w:r>
        <w:t>En l’espèce, la Cour constate que la situation médicale du recourant n’est pas claire.</w:t>
      </w:r>
    </w:p>
    <w:p>
      <w:r>
        <w:t>Son médecin traitant, ayant procédé à plusieurs prises en charge médicamenteuses, après avoir fait constater l’absence d’hernie discale, a orienté le recourant vers une spécialiste en rhumatologie, la Dresse B___________.</w:t>
      </w:r>
    </w:p>
    <w:p>
      <w:r>
        <w:t>Lorsqu’il a rempli son rapport adressé à l’OAI en 2008, le Dr A___________ a clairement indiqué qu’il conviendrait de déterminer les potentialités de reprise d’une activité, les limitations fonctionnelles, ainsi que les taux de capacité résiduelle et de rendement, par expertise médicale.</w:t>
      </w:r>
    </w:p>
    <w:p>
      <w:r>
        <w:t>La Dresse B___________, s’est tout d’abord prononcée en faveur de la potentielle reprise d’une activité professionnelle, à 100 %, dans une activité légère, en tenant compte de différentes limitations fonctionnelles du recourant.</w:t>
      </w:r>
    </w:p>
    <w:p>
      <w:r>
        <w:t>Par la suite, l’ayant suivi dans la durée, elle a pris conscience de la persistance des symptômes (douleurs, blocages, difficulté à la marche) à chaque tentative de reprise d’activité, en particulier dans le cas d’espèce, lors des différents stages et cours suivis par le recourant.</w:t>
      </w:r>
    </w:p>
    <w:p>
      <w:r>
        <w:t>Dès lors, lors de son audition, le 7 décembre 2010, la Dresse B___________ est par conséquent revenue sur ses précédents pronostics.</w:t>
      </w:r>
    </w:p>
    <w:p>
      <w:r>
        <w:t>Sur la base des rapports de stages qui lui ont été soumis, elle a souscrit au pourcentage de capacité résiduelle de travail retenu à hauteur de 50 %, indiquant toutefois ne pas pouvoir se prononcer sur un taux de rendement.</w:t>
      </w:r>
    </w:p>
    <w:p>
      <w:r>
        <w:t>Au vu de ce qui précède, la Cour ne peut que constater qu’il lui manque des éléments essentiels pour l’appréciation du recours, en particulier s’agissant de l’octroi d’une rente, sollicitée par le recourant.</w:t>
      </w:r>
    </w:p>
    <w:p>
      <w:r>
        <w:t>Elle considère qu’en l’état, il n’y a pas lieu d’ordonner la tenue d’une expertise judiciaire.</w:t>
      </w:r>
    </w:p>
    <w:p>
      <w:r>
        <w:t>Au contraire, il faudra tout d’abord que l’OAI reprenne l’instruction du dossier, tout particulièrement s’agissant de la pose d’un diagnostic complémentaire, sur le plan neurologique, en sus des constatations médicales, à confirmer, sur les plans orthopédiques et rhumatologiques.</w:t>
      </w:r>
    </w:p>
    <w:p>
      <w:r>
        <w:t>Il conviendra que l’OAI fasse procéder à une expertise, permettant de déterminer non seulement la capacité résiduelle de travail du recourant, sur le plan médical, mais également d’établir de manière précise les limitations fonctionnelles</w:t>
      </w:r>
    </w:p>
    <w:p>
      <w:r>
        <w:t>A/317/2009 - 19/20 - rencontrées, de même que le taux de rendement envisageable dans l’activité préconisée.</w:t>
      </w:r>
    </w:p>
    <w:p>
      <w:r>
        <w:t>Selon les conclusions des rapports d’expertise, il conviendra que l’OAI se détermine, selon le calcul de taux d’activité qui pourra être effectué à nouveau, sur l’opportunité de l’octroi de mesures de réadaptation professionnelle ou d’une rente, un rapport du service de réadaptation professionnelle devant être requis en tant que mesures d’instruction complémentaire.</w:t>
      </w:r>
    </w:p>
    <w:p>
      <w:r>
        <w:t>Au vu de ce qui précède, la Cour renverra le dossier à l’OAI, pour complément d’instruction, au sens des considérants.</w:t>
      </w:r>
    </w:p>
    <w:p>
      <w:r>
        <w:rPr>
          <w:b/>
        </w:rPr>
        <w:t>E. 5</w:t>
      </w:r>
    </w:p>
    <w:p>
      <w:r>
        <w:t>Le recourant qui obtient partiellement gain de cause, se verra octroyer une indemnité de 1'500 fr. à titre de dépens.</w:t>
      </w:r>
    </w:p>
    <w:p>
      <w:r>
        <w:rPr>
          <w:b/>
        </w:rPr>
        <w:t>E. 6</w:t>
      </w:r>
    </w:p>
    <w:p>
      <w:r>
        <w:t>L’émolument de justice, fixé à 200 fr., est mis à la charge de l’intimée.</w:t>
      </w:r>
    </w:p>
    <w:p>
      <w:r>
        <w:t>A/317/2009 - 20/20 -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