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ATAS/626/2008 vom 18. Oktober 2007</w:t>
      </w:r>
    </w:p>
    <w:p>
      <w:r>
        <w:t>GE Cour de justice, 2007-10-18, FR</w:t>
      </w:r>
    </w:p>
    <w:p>
      <w:r>
        <w:rPr>
          <w:b/>
        </w:rPr>
        <w:t xml:space="preserve">Quelle: </w:t>
      </w:r>
      <w:r>
        <w:t>https://mcp.opencaselaw.ch/entscheid/ge_gerichte_ATAS_626_2008</w:t>
      </w:r>
    </w:p>
    <w:p>
      <w:r>
        <w:t>FR: GE_GERICHTE ATAS/626/2008 du 18 octobre 2007</w:t>
      </w:r>
    </w:p>
    <w:p>
      <w:r>
        <w:t>IT: GE_GERICHTE ATAS/626/2008 del 18 ottobre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A/4625/2007 4/5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1er juin 2001, d’autre part le 22 novembre 2007, date à laquelle le jugement de divorce est devenu exécutoire.</w:t>
      </w:r>
    </w:p>
    <w:p>
      <w:r>
        <w:rPr>
          <w:b/>
        </w:rPr>
        <w:t>E. 4</w:t>
      </w:r>
    </w:p>
    <w:p>
      <w:r>
        <w:t>Le 13 décembre 2007, le demandeur a indiqué que son ex-épouse entendait renoncer au partage par moitié des avoirs LPP. Il y a toutefois lieu de rappeler que la clé de répartition est déterminée par le juge du divorce et lui seul. Le Tribunal de céans ne saurait la modifier. Il n'a pas la compétence de remettre en cause le dispositif du jugement de divorce ou de le modifier. Seule la révision du jugement de divorce pourrait entrainer une modification (ATF du 8 mars 2007 cause B 48/06).</w:t>
      </w:r>
    </w:p>
    <w:p>
      <w:r>
        <w:rPr>
          <w:b/>
        </w:rPr>
        <w:t>E. 5</w:t>
      </w:r>
    </w:p>
    <w:p>
      <w:r>
        <w:t>Selon les documents produits, la prestation acquise pendant le mariage par le demandeur est de 11'459 fr. (10'604 fr. 60 + 854 fr. 40) tandis que celle acquise par la demanderesse est de 1'611 fr. 20, les intérêts ayant déjà été calculés par les institutions de prévoyance défenderesses. Ainsi le demandeur doit à son ex-épouse le montant de 5'729 fr. 50 (11'459 fr. : 2) et celle-ci lui doit le montant de 805 fr. 60 (1'611 fr. 20 : 2), de sorte que c’est le demandeur qui doit à son ex- épouse le montant de 4'923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A/4625/2007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