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ATAS/625/2016 vom 16. August 2016</w:t>
      </w:r>
    </w:p>
    <w:p>
      <w:r>
        <w:t>GE Cour de justice, 2016-08-16, FR</w:t>
      </w:r>
    </w:p>
    <w:p>
      <w:r>
        <w:rPr>
          <w:b/>
        </w:rPr>
        <w:t xml:space="preserve">Quelle: </w:t>
      </w:r>
      <w:r>
        <w:t>https://mcp.opencaselaw.ch/entscheid/ge_gerichte_ATAS_625_2016</w:t>
      </w:r>
    </w:p>
    <w:p>
      <w:r>
        <w:t>FR: GE_GERICHTE ATAS/625/2016 du 16 août 2016</w:t>
      </w:r>
    </w:p>
    <w:p>
      <w:r>
        <w:t>IT: GE_GERICHTE ATAS/625/2016 del 16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A/4195/2015 - 8/17 -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mesures d'ordre professionnel en raison de ses atteintes à la santé.</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w:t>
      </w:r>
    </w:p>
    <w:p>
      <w:r>
        <w:t>A/4195/2015 - 9/17 -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A/4195/2015 - 10/17 - profit de sa capacité de travail ne peut, pratiquement, plus être raisonnablement exigée de lui, ou qu'elle serait même insupportable pour la société (ATF 127 V 294 consid. 4c, ATF 102 V 165; VSI 2001 p. 224 consid. 2b et les références).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ATF 133 V 450 consid. 11.1.3; ATF 125 V 351 consid. 3). Sans remettre en cause le principe de la libre appréciation des preuves, le Tribunal fédéral des assurances a ainsi posé des lignes directrices en ce qui concerne la manière d'apprécier certains types d'expertises ou de rapports médicaux (ATF 125 V 352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A/4195/2015 - 11/17 -</w:t>
      </w:r>
    </w:p>
    <w:p>
      <w:r>
        <w:rPr>
          <w:b/>
        </w:rPr>
        <w:t>E. 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134 V 322 consid. 4.1).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A/4195/2015 - 12/17 -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p. 220 consid. 4a). c.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mars 2015). Par ailleurs, si ce médecin est certes d'avis que l'activité habituelle ou toute autre activité de chantier n'est plus exigible de la part du recourant, elle ne conteste toutefois pas que la capacité de travail de son patient soit entière dans une activité adaptée depuis novembre 2013 (courrier de la Dresse D______ à l'intimé du 18 novembre 2015). Enfin, on ajoutera que contrairement à ce que fait valoir le recourant, aucun médecin n'a retenu l'existence d'une incapacité de travail dans l'exercice d'une activité adaptée. Partant, il y a lieu de retenir que ce dernier présente, en raison de ses atteintes somatiques, une capacité de travail entière dans une activité adaptée depuis novembre 2013. c. Sur le plan psychique, mandaté par l'assureur perte de gain maladie, le Dr I______ a diagnostiqué, sans répercussion sur la capacité de travail, un trouble de l’adaptation avec réaction mixte anxieuse et dépressive (F43.32). La chambre de céans constate que ce rapport se base sur un examen du recourant et sur son dossier médical. L'anamnèse est complète et les plaintes ont été prises en considération. La description et l'appréciation de la situation médicale sont claires. L'expert a expliqué pour quelles raisons il retenait ce diagnostic, ses conclusions sont cohérentes, convaincantes et ne laissent pas apparaître de contradictions. Il s'ensuit que ce rapport a pleine valeur probante. Le Dr H______ a certes estimé que le recourant présentait une symptomatologie anxieuse et dépressive moyenne à sévère entraînant une incapacité de travail totale (rapports des 5 janvier et 11 septembre 2015). Cela étant, force est de relever que ce médecin, dont l'appréciation émise en qualité de psychiatre traitant doit être abordée avec précaution, n'apporte pas de véritable motivation à ses conclusions. Qui plus est, et surtout, le Dr H______ ne fait pas état d'éléments objectivement vérifiables qui auraient été ignorés par l'expert et qui seraient suffisamment pertinents pour remettre en cause l'appréciation de ce dernier. Il s'ensuit que c'est à bon droit que l'intimé a retenu que le recourant présente, compte tenu de l'ensemble de ses atteintes, une capacité de travail entière dans une activité adaptée à compter de novembre 2013.</w:t>
      </w:r>
    </w:p>
    <w:p>
      <w:r>
        <w:t>A/4195/2015 - 14/17 - Ainsi, la mise en œuvre d'une expertise médicale complémentaire,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w:t>
      </w:r>
    </w:p>
    <w:p>
      <w:r>
        <w:rPr>
          <w:b/>
        </w:rPr>
        <w:t>E. 11</w:t>
      </w:r>
    </w:p>
    <w:p>
      <w:r>
        <w:t>a. Reste à déterminer le taux d'invalidité que présentait le recourant en 2013. b. En ce qui concerne le revenu sans invalidité, le questionnaire rempli le 19 novembre 2013 par l'employeur fait état d’un salaire horaire de CHF 28.20 en 2013, auquel s’ajoutent une indemnité vacances de 10.64% et un 13ème salaire de 8.33%. On relèvera que le fait que le salaire horaire n'inclut pas ces deux derniers éléments est par ailleurs corroboré par les divers décomptes fournis par l'employeur (pièces 9 chargé intimé). Le calcul effectué par l'intimé, lequel n'a pas pris en compte l'indemnité de vacances et le 13ème salaire, est par conséquent manifestement erroné. Un pourcentage de 10.64% du salaire correspond à 5 semaines de vacances sur une période d'une année (Rémi WYLER / Boris HEINZER, Droit du travail, 3ème éd. 2014, p. 400). A raison de 45 heures par semaine durant 47 semaines par année (après déduction des vacances), le salaire s’élève ainsi à CHF 59'643.- (28.20 x 45 x 47), auquel s'ajoute le salaire afférent aux vacances (CHF 6'346.- = 10.64% x 59'643), soit CHF 65'989.- (59'643 + 6'346). Enfin, le 13ème salaire (CHF 5'497.- = 8.33% x 65'989), porte le salaire sans invalidité en 2013 à CHF 71'486.-. Le recourant fait valoir que l'indemnité à titre de transport et repas doit être prise en compte dans le salaire sans invalidité. S'il résulte des fiches de salaires que le recourant a effectivement perçu une indemnité pour frais de déplacement, il n'en demeure pas moins que celle-ci ne peut être prise en considération, puisqu'il s'agit de frais accessoires au salaire à la charge de l’employeur et non soumis aux cotisations AVS (RCC 1986 p. 432; OFAS, Circulaire sur l'invalidité et l'impotence dans l'assurance-invalidité, n. 3027). Enfin, on ne saurait majorer le salaire obtenu par l'augmentation salariale en 2014, comme l'invoque le recourant, dans la mesure où la comparaison des revenus se fait au regard de l'année 2013, soit l'année au cours de laquelle ce dernier est apte à la réadaptation. Compte tenu de ce qui précède, le salaire sans invalidité est de CHF 71'486.- et c'est dès lors à tort que l'intimé a retenu un salaire de CHF 65'988.-. c. S'agissant du salaire avec invalidité, dans la mesure où le recourant n'a pas repris d'activité lucrative, c'est à juste titre que l'intimé s'est fondé sur les données salariales ressortant des ESS. En l’espèce, le salaire de référence est celui auquel peuvent prétendre les hommes travaillant dans les activités simples et légères, à</w:t>
      </w:r>
    </w:p>
    <w:p>
      <w:r>
        <w:t>A/4195/2015 - 15/17 - savoir CHF 65'520.- par année (5'210 x 12; ESS 2012, TA1_tirage_skill_level, total, niveau 1, hommes). Comme les salaires bruts standardisés tiennent compte d’un horaire de travail de 40 heures, soit une durée hebdomadaire inférieure à la moyenne usuelle dans les entreprises en 2012 (41,7 heures ; La Vie économique, 9- 2012, p. 94, B 9.2), ce montant doit être porté à CHF 65'177.- (65'520 x 41.7 : 40) et à CHF 65'654.- indexé à 2013 selon l’évolution des salaires pour les hommes en termes nominaux (65'177 x 2204 / 2188; Office fédéral de la statistique, indice suisse des salaires, tableau T39). Par ailleurs, l'intimé a retenu qu'il y avait lieu d'effectuer un abattement supplémentaire sur le salaire statistique de 10% pour tenir compte des limitations fonctionnelles du recourant. À cet égard, la chambre de céans constate que le recourant ne peut exercer que des activités légères et qu'il compte plus de dix années de service auprès de son employeur. Or, ces critères, auxquels s'ajoute celui retenu par l'intimé, diminue de manière déterminante les perspectives salariales du recourant, de sorte qu'une déduction de 15% apparaît plus appropriée. Compte tenu donc de l'abattement de 15%, le revenu d'invalide sur la base statistique s'élève à CHF 55'806 (65'654 – 9'848), qui, une fois comparé avec le revenu sans invalidité de CHF 71'486.- conduit à un taux d'invalidité de 21,9% (71'486 – 55'806/71'486 x 100), doit être arrondi au chiffre en pour cent supérieur (ATF 130 V 121), soit 22%, ce qui ouvre, en principe, le droit à un reclassement. À cet égard, force est de constater que la décision litigieuse se contente de mentionner que le droit au reclassement n'est pas ouvert au vu du degré d'invalidité de 10%. Dans le cadre de la présente procédure, l'intimé fait valoir que le recourant peut exercer ces activités dans divers secteurs sans qu'il soit nécessaire de procéder à des mesures d'ordre professionnelles. La chambre de céans relèvera que quand bien même le recourant dispose d'une capacité de travail entière dans une activité adaptée, sa capacité de gain résiduelle n'atteint pas 80% de celle dont il jouissait auparavant en tant que personne valide. Compte tenu de l'importance de cette perte de gain, susceptible de se prolonger pendant près de trente ans encore, on ne saurait exiger de lui qu'il la compense de sa propre initiative et sans l'intervention de l'assurance-invalidité. Cela étant, dans la mesure où l'instruction du dossier n'a pas porté sur la question d'une mesure de réadaptation, il y a lieu de renvoyer la cause à l'intimé pour qu'il instruise les conditions objectives et subjectives d'une telle mesure et qu'il rende une nouvelle décision.</w:t>
      </w:r>
    </w:p>
    <w:p>
      <w:r>
        <w:rPr>
          <w:b/>
        </w:rPr>
        <w:t>E. 12</w:t>
      </w:r>
    </w:p>
    <w:p>
      <w:r>
        <w:t>Le recours sera donc partiellement admis et la décision litigieuse annulée en tant qu'elle nie le droit à un reclassement et confirmée pour le surplus. La cause sera renvoyée pour instruction sur les mesures de réadaptation et nouvelle décision.</w:t>
      </w:r>
    </w:p>
    <w:p>
      <w:r>
        <w:t>A/4195/2015 - 16/17 -</w:t>
      </w:r>
    </w:p>
    <w:p>
      <w:r>
        <w:rPr>
          <w:b/>
        </w:rPr>
        <w:t>E. 13</w:t>
      </w:r>
    </w:p>
    <w:p>
      <w:r>
        <w:t>Le recourant, représenté par un conseil et obtenant gain de cause, une indemnité de CHF 1'500.- lui est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w:t>
      </w:r>
    </w:p>
    <w:p>
      <w:r>
        <w:rPr>
          <w:b/>
        </w:rPr>
        <w:t>E. 14</w:t>
      </w:r>
    </w:p>
    <w:p>
      <w:r>
        <w:t>La procédure de recours en matière de contestations portant sur l'octroi ou le refus de prestations de l'assurance-invalidité étant soumise à des frais de justice (art. 69 al. 1bis LAI), un émolument de CHF 200.- sera mis à la charge de l'intimé.</w:t>
      </w:r>
    </w:p>
    <w:p>
      <w:r>
        <w:t>A/4195/2015 - 17/17 -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