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ATAS/624/2020 vom 28. Juli 2020</w:t>
      </w:r>
    </w:p>
    <w:p>
      <w:r>
        <w:t>GE Cour de justice, 2020-07-28, FR</w:t>
      </w:r>
    </w:p>
    <w:p>
      <w:r>
        <w:rPr>
          <w:b/>
        </w:rPr>
        <w:t xml:space="preserve">Quelle: </w:t>
      </w:r>
      <w:r>
        <w:t>https://mcp.opencaselaw.ch/entscheid/ge_gerichte_ATAS_624_2020</w:t>
      </w:r>
    </w:p>
    <w:p>
      <w:r>
        <w:t>FR: GE_GERICHTE ATAS/624/2020 du 28 juillet 2020</w:t>
      </w:r>
    </w:p>
    <w:p>
      <w:r>
        <w:t>IT: GE_GERICHTE ATAS/624/2020 del 28 luglio 2020</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2</w:t>
      </w:r>
    </w:p>
    <w:p>
      <w:r>
        <w:t>L'art. 61 LPGA prévoit que la procédure devant la chambre des assurances sociales est réglée par le droit cantonal, sous réserve de ce que celui-ci respecte les exigences minimales requises par la LPGA.</w:t>
      </w:r>
    </w:p>
    <w:p>
      <w:r>
        <w:t>A/1291/2020 - 3/4 - Parmi celles-ci, l’art. 61 let. b LPGA requiert que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Dans le même sens, l’art. 89B LPA, qui fait partie du titre IVA afférent à la procédure applicable devant la chambre des assurances sociales, prescrit que la demande ou le recours est adressé en deux exemplaires à ladite chambre soit par une lettre, soit par un mémoire signé, comportant : les nom, prénoms, domicile ou résidence des parties ou, s'il s'agit d'une personne morale, toute autre désignation précise (let. a) ; un exposé succinct des faits ou des motifs invoqués (let. b) ; des conclusions (let. c ; al. 1). Le cas échéant, la décision attaquée et les pièces invoquées sont jointes (al. 2). Si la lettre ou le mémoire n'est pas conforme à ces règles, la chambre des assurances sociales impartit un délai convenable à son auteur pour le compléter en indiquant qu'en cas d'inobservation la demande ou le recours est écarté (al. 3). En l’espèce, le recourant ne motive aucunement son recours, par des faits qui n’auraient pas été correctement pris en compte par l’intimée et/ou par des motifs permettant de savoir sur quels fondements son acte repose. Cette omission rend son acte incompatible avec les exigences des art. 61 let. b LPGA et 89B al. 1 LPA. L’intéressé n’a pas complété son recours dans le délai convenable imparti par la chambre de céans, ayant reçu la lettre de cette dernière le 27 mai 2020 et ayant ainsi eu à disposition seize jours (jusqu’au 12 juin 2020) pour le faire. La conséquence, indiquée dans le courrier de la chambre de céans du 22 mai 2020, est l’irrecevabilité de son recours, conformément aux art. 61 let. b LPGA et 89B al. 3 LPA. Vu ce qui précède, il y a lieu, sans instruction préalable (art. 72 LPA), de constater que le recours est manifestement irrecevable.</w:t>
      </w:r>
    </w:p>
    <w:p>
      <w:r>
        <w:rPr>
          <w:b/>
        </w:rPr>
        <w:t>E. 3</w:t>
      </w:r>
    </w:p>
    <w:p>
      <w:r>
        <w:t>La procédure est gratuite (art. 61 let. a LPGA).</w:t>
      </w:r>
    </w:p>
    <w:p>
      <w:r>
        <w:t>A/1291/2020 - 4/4 -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