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ATAS/624/2015 vom 25. August 2015</w:t>
      </w:r>
    </w:p>
    <w:p>
      <w:r>
        <w:t>GE Cour de justice, 2015-08-25, FR</w:t>
      </w:r>
    </w:p>
    <w:p>
      <w:r>
        <w:rPr>
          <w:b/>
        </w:rPr>
        <w:t xml:space="preserve">Quelle: </w:t>
      </w:r>
      <w:r>
        <w:t>https://mcp.opencaselaw.ch/entscheid/ge_gerichte_ATAS_624_2015</w:t>
      </w:r>
    </w:p>
    <w:p>
      <w:r>
        <w:t>FR: GE_GERICHTE ATAS/624/2015 du 25 août 2015</w:t>
      </w:r>
    </w:p>
    <w:p>
      <w:r>
        <w:t>IT: GE_GERICHTE ATAS/624/2015 del 25 agosto 2015</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par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 SUVA mettant un terme à des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Il satisfait aux exigences de forme et de contenu prévues par l’art. 61 let. b LPGA (cf. aussi art. 89B LPA). L’assuré a qualité pour recourir (art. 59 LPGA). c. Le présent recours sera donc déclaré recevable.</w:t>
      </w:r>
    </w:p>
    <w:p>
      <w:r>
        <w:rPr>
          <w:b/>
        </w:rPr>
        <w:t>E. 2</w:t>
      </w:r>
    </w:p>
    <w:p>
      <w:r>
        <w:t>Le litige porte sur le droit du recourant à des prestations de la part de l’intimée au- delà du 30 septembre 2014 pour les accidents de sa cheville gauche qu’il a subis les 27 février 2012 et 2 juin 2014. Il doit être tranché au regard de la LAA et, dans la mesure de son applicabilité (art. 1 al. 1 LAA), de la LPGA. Comme pour les questions de procédure, les dispositions de la LPGA constituent, en règle générale, une version formalisée dans la loi de la jurisprudence relative aux notions correspondantes avant l'entrée en vigueur de la LPGA ; il n'en découle aucune modification du point de vue de leur</w:t>
      </w:r>
    </w:p>
    <w:p>
      <w:r>
        <w:t>A/539/2015 - 11/20 - contenu, de sorte que la jurisprudence développée à leur propos peut être reprise et appliquée (ATF 130 V 343 consid. 3).</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w:t>
      </w:r>
    </w:p>
    <w:p>
      <w:r>
        <w:t>A/539/2015 - 12/20 -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w:t>
      </w:r>
    </w:p>
    <w:p>
      <w:r>
        <w:rPr>
          <w:b/>
        </w:rPr>
        <w:t>E. 4</w:t>
      </w:r>
    </w:p>
    <w:p>
      <w:r>
        <w:t>a. Une fois que le lien de causalité a été établi, l’obligation de prester de l’assureur cesse lorsque l'accident ne constitue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125 V 195 consid. 2 ; RAMA 2000 n. U 363 p. 46). b. Lorsqu'un état maladif préexistant (fût-il dégénératif de précédents accidents non couverts par l’assureur-accidents)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w:t>
      </w:r>
    </w:p>
    <w:p>
      <w:r>
        <w:rPr>
          <w:b/>
        </w:rPr>
        <w:t>E. 5</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w:t>
      </w:r>
    </w:p>
    <w:p>
      <w:r>
        <w:t>A/539/2015 - 13/20 -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cc. Une appréciation médicale, respectivement une expertise médicale établie sur la base d'un dossier peut avoir valeur probante pour autant que celui-ci contienne</w:t>
      </w:r>
    </w:p>
    <w:p>
      <w:r>
        <w:t>A/539/2015 - 14/20 -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donc pas, en droit des assurances sociales, un principe selon lequel l’administration ou le juge devrait statuer, dans le doute, en faveur de l’assuré (ATF 126 V 319 consid. 5a).</w:t>
      </w:r>
    </w:p>
    <w:p>
      <w:r>
        <w:rPr>
          <w:b/>
        </w:rPr>
        <w:t>E. 7</w:t>
      </w:r>
    </w:p>
    <w:p>
      <w:r>
        <w:t>Dans le domaine des assurances sociales notamment, la procédure est régie par le principe inquisitoire, selon lequel il appartient à l’administration, respectivement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t>A/539/2015 - 15/20 - Dans le contexte de la suppression du droit à des prestations, le fardeau de la preuve n'appartient pas à l'assuré mais à l'assureur (RAMA 2000 n. U 363 p. 46 consid. 2 ;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nécessairement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w:t>
      </w:r>
    </w:p>
    <w:p>
      <w:r>
        <w:rPr>
          <w:b/>
        </w:rPr>
        <w:t>E. 8</w:t>
      </w:r>
    </w:p>
    <w:p>
      <w:r>
        <w:t>En l’espèce, il n’est pas contesté ni n’apparaît contestable que les deux torsions de la cheville gauche subies par le recourant les 27 février 2012 et 2 juin 2014 ont provoqué l’une et l’autre des atteintes à la santé du recourant. Elles constituent toutes deux des accidents, dont l’intimée a accepté la prise en charge, ne niant ni la causalité naturelle ni la causalité adéquate de ces événements par rapport auxdites atteintes. L’intimée estime que ces effets délétères ont pris fin et qu’en conséquence elle n’a plus à verser des prestations pour ces accidents à partir du 30 septembre 2014.</w:t>
      </w:r>
    </w:p>
    <w:p>
      <w:r>
        <w:t>Les dates à partir desquelles l’intimée considère ne plus devoir verser de prestations pour ces accidents ne sont pas celles retenues par son médecin d’arrondissement. Pour ce dernier, les effets délétères de l’accident du 27 février 2012 avaient cessé neuf mois plus tard, soit le 27 novembre 2012, et ceux de l’accident du 2 juin 2014 avaient pris fin deux mois et demi plus tard, soit à la mi-septembre 2014. L’intimée a retenu, pour les deux accidents, la date du 30 septembre 2014. C’est cette date-ci qui est déterminante et ici litigieuse. La chambre de céans ne voit pas de raison d’envisager qu’une reformatio in pejus pourrait être faite au détriment du recourant, en donnant alors préalablement aux parties l’occasion de se prononcer à ce sujet (art. 61 let. d LPGA ; cf. aussi art. 89E LPA), à savoir de considérer qu’il devrait ou aurait dû être mis fin antérieurement au 30 septembre 2014 aux prestations de l’intimée pour ces deux accidents, respectivement au 27 novembre 2012 et à la mi- septembre 2014. Il faut dire que la question a un côté théorique, dans la mesure où l’intimée a pris en charge, au-delà du 28 novembre 2012, l’accident que le recourant a subi le 6 novembre 2012 à son genou gauche, jusqu’au 6 mai 2013, date qui n’est toutefois pas définitivement arrêtée dès lors que l’intimée doit encore, après renvoi du dossier par l’arrêt que la chambre de céans a rendu le 30 juin 2015 sur le recours A/2511/2014, procéder à des investigations complémentaires puis</w:t>
      </w:r>
    </w:p>
    <w:p>
      <w:r>
        <w:t>A/539/2015 - 16/20 - rendre une nouvelle décision (et, le cas échéant, une nouvelle décision sur opposition). Au côté théorique de la question s’ajoute toutefois une interrogation quant à des interférences entre les lésions subies par le recourant à sa cheville gauche et à son genou gauche (étant en outre rappelé que le recourant a aussi invoqué des lésions à sa cheville droite et à son genou droit). À moins qu’il se fût agi de lésions clairement distinctes et sans rapports ni effets les unes sur les autres, il n’apparaît pas heureux que l’intimée ait rendu successivement et séparément deux décisions distinctes, puis deux décisions sur opposition distinctes sur un statu quo sine de la lésion du genou gauche puis des lésions de la cheville gauche du recourant. Il aurait sans doute été préférable que la chambre de céans ordonne la jonction des deux procédures ouvertes devant elle contre ces deux décisions sur opposition. Il sera revenu plus loin sur ce sujet.</w:t>
      </w:r>
    </w:p>
    <w:p>
      <w:r>
        <w:rPr>
          <w:b/>
        </w:rPr>
        <w:t>E. 9</w:t>
      </w:r>
    </w:p>
    <w:p>
      <w:r>
        <w:t>a. Il n’apparaît nullement exclu, a priori, que l’avis d’un médecin d’arrondissement de l’intimée suffise à fonder une décision mettant fin à la prise en charge des effets dommageables de torsions d’une cheville, pour le motif que des atteintes à la santé présentes et/ou ressenties à la cheville considérée ne soient plus imputables, au degré de vraisemblance prépondérante, à des accidents couverts par l’intimée.</w:t>
      </w:r>
    </w:p>
    <w:p>
      <w:r>
        <w:t>Encore faut-il qu’un tel avis notamment porte sur les points pertinents, soit dûment motivé et emporte conviction, et ne soit pas en contradiction – sauf de façon le cas échéant justifiée et dûment motivée – avec des éléments du dossier.</w:t>
      </w:r>
    </w:p>
    <w:p>
      <w:r>
        <w:t>b. Déterminer les dates d’un statu quo ante et/ou d’un statu quo sine suppose que soient établis non seulement les aggravations dues aux accidents reconnus en rapport de causalité naturelle et adéquate avec ces dernières, mais aussi l’état de santé antérieur de l’assuré et le cas échéant l’évolution que cet état de santé aurait de toute façon connue, quant à la nature des atteintes à la santé mais aussi quant au temps de leur survenance.</w:t>
      </w:r>
    </w:p>
    <w:p>
      <w:r>
        <w:t>En l’espèce, il apparaît certes possible que des entorses graves d’une cheville génèrent en général une incapacité de travail de trois mois (comme l’a relevé la Dre D______ le 15 mai 2012), et donc qu’au bout de neuf mois les effets délétères de telles torsions aient pris fin (selon l’avis du Dr J______) et a fortiori au bout d’un temps encore plus long (au 30 septembre 2014 selon l’intimée). Par ailleurs, les résultats des deux IRM des 24 avril 2012 et 1er septembre 2014 se recoupent largement.</w:t>
      </w:r>
    </w:p>
    <w:p>
      <w:r>
        <w:t>Il n’empêche qu’il n’est pas argumenté de façon convaincante que tous les constats résultant de ces IRM font référence exclusivement à des accidents non couverts par l’intimée, en particulier à des traumatismes que le recourant a subis au Chili lorsque, comme officier dans l’armée de l’air, il effectuait des sauts en parachute (au surplus sans qu’il ne soit clairement établi que son accident principal, ayant comporté une fracture du calcanéum, a bien concerné sa cheville gauche). L’IRM du 24 avril 2012 a été faite deux mois après l’accident du 27 février 2012. Les</w:t>
      </w:r>
    </w:p>
    <w:p>
      <w:r>
        <w:t>A/539/2015 - 17/20 - radiographies de la cheville gauche du recourant, effectuées le lendemain de cet accident, n’avaient montré qu’une tuméfaction des tissus mous bordant la malléole externe, sans calcification sous-jacente, un discret remaniement dégénératif de la cheville caractérisé par une ostéophytose marginale du pilon tibial principalement antérieur, sans signe d’arthrose, et un aspect banal des structures ostéoarticulaires.</w:t>
      </w:r>
    </w:p>
    <w:p>
      <w:r>
        <w:t>Le Dr C______, qui a pratiqué et commenté les deux IRM en question, ne s’est prononcé ni sur le principe ni sur la date d’un statu quo ante ou d’un statu quo sine, que ce soit pour l’un ou pour l’autre des deux accidents des 27 février 2012 et 2 juin 2014. Il n’a en particulier pas nié tout lien de causalité naturelle et adéquate entre ces derniers et les constats résultant des IRM.</w:t>
      </w:r>
    </w:p>
    <w:p>
      <w:r>
        <w:t>Les rapports du Dr E______ du 7 février 2013 et des Drs F______ et G______ du</w:t>
      </w:r>
    </w:p>
    <w:p>
      <w:r>
        <w:rPr>
          <w:b/>
        </w:rPr>
        <w:t>E. 12</w:t>
      </w:r>
    </w:p>
    <w:p>
      <w:r>
        <w:t>mars 2013 ne concernent par définition pas l’accident du 2 juin 2014, postérieur à ces rapports, et ils font référence tant sinon davantage aux lésions des genoux qu’à celles des chevilles du recourant. S’il peut en être déduits des éléments parlant en faveur d’une reprise d’activité professionnelle en considération des seuls problèmes affectant les chevilles du recourant, mis au bénéfice de chaussures orthopédiques de série et de supports plantaires sur mesure, ces rapports ne permettent pas de fonder un statu quo ante ou un statu quo sine, à tout le moins pas la date à laquelle les effets délétères de l’accident du 27 février 2012 peuvent le cas échéant être considérés comme ayant cessé.</w:t>
      </w:r>
    </w:p>
    <w:p>
      <w:r>
        <w:t>De son côté, le médecin traitant du recourant, le Dr B______, a attesté régulièrement d’une totale incapacité de travail du recourant. Celle-ci contredit en tout cas un statu quo ante, soit un retour à un état de santé antérieur à celui qu’avait le recourant lorsqu’il exerçait encore une activité professionnelle. Il est vrai que ses certificats ne sont guère sinon pas du tout motivés, et qu’ils ne sauraient suffire à convaincre d’un mal-fondé de la décision attaquée. Ledit médecin ne spécifie pas quels effets dommageables les torsions de la cheville gauche qu’a subies le recourant les 27 février 2012 et 2 juin 2014 expliqueraient, au-delà du 30 septembre 2014, les atteintes à la santé dont se plaint le recourant, en particulier au niveau de sa cheville gauche.</w:t>
      </w:r>
    </w:p>
    <w:p>
      <w:r>
        <w:t>En ce qui la concerne, l’intimée n’a pas pris position clairement – et son médecin d’arrondissement non plus – sur le point de savoir si, au 30 septembre 2014, elle retient un statu quo ante, qu’elle n’a au demeurant pas défini clairement, ou un statu quo sine, qui impliquerait l’indication des atteintes ayant évolué depuis les accidents considérés mais indépendamment de ces derniers.</w:t>
      </w:r>
    </w:p>
    <w:p>
      <w:r>
        <w:t>c. Pour qu’un rapport, voire un avis médical puisse fonder une décision, il faut aussi, le cas échéant, que la description des interférences médicales soit claire.</w:t>
      </w:r>
    </w:p>
    <w:p>
      <w:r>
        <w:t>En l’occurrence, il n’est pas douteux que le recourant a subi plusieurs accidents au niveau de ses chevilles et de ses genoux, d’une part à des périodes antérieures à son installation en Suisse, lorsqu’il était encore au Chili, mais aussi entre 1997, année de son arrivée en Suisse, et le 27 février 2012, date de survenance du premier des</w:t>
      </w:r>
    </w:p>
    <w:p>
      <w:r>
        <w:t>A/539/2015 - 18/20 - deux accidents ici pertinents, et d’autre part qu’il a subi, de façon contemporaine à ces deux derniers, plusieurs lésions mais aussi des opérations des genoux.</w:t>
      </w:r>
    </w:p>
    <w:p>
      <w:r>
        <w:t>La question des interférences entre ces différentes lésions se pose indéniablement. Preuve en est que l’intimée, donnant suite à l’appréciation du 9 novembre 2012 de son médecin d’arrondissement, la Dre D______, a estimé que le recourant devait être soumis à une évaluation pluridisciplinaire globale à la CRR. Tant le 15 juillet que le 18 septembre 2012, le Dr B______ avait relevé que le problème de la cheville interférait avec le recouvrement du genou.</w:t>
      </w:r>
    </w:p>
    <w:p>
      <w:r>
        <w:t>Or, ces interférences ne sont pas décrites de façon claire, ni quelles lésions sont couvertes par l’intimée, et pour quels événements assurés. 10. a. Dans ces conditions, le dossier ne comporte pas les éléments permettant de trancher la question litigieuse du principe et le cas échéant de la date d’un statu quo ante ou d’un statu quo sine pour les deux accidents des 27 février 2012 et 2 juin 2014.</w:t>
      </w:r>
    </w:p>
    <w:p>
      <w:r>
        <w:t>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récente jurisprudence du Tribunal fédéral prévoyant que le juge cantonal ordonne une expertise au besoin ne saurait en effet permettre à l’assureur de se soustraire à son obligation d’instruire (ATF 137 V 210 ; cf. notamment ATAS/588/2013 du 11 juin 2013 ; ATAS/454/2013 du 2 mai 2013 ; ATAS/139/2013 du 6 février 2013).</w:t>
      </w:r>
    </w:p>
    <w:p>
      <w:r>
        <w:t>c. En l’espèce, il ne serait pas exclu d’ordonner des actes d’instruction dans le cadre de la présente procédure, en particulier une expertise judiciaire. Toutefois, d’une part il appert que l’intimée a établi les faits de façon trop sommaire ou, à tout le moins, ne s’est pas prononcée de façon claire, motivée et convaincante sur les points pertinents, et d’autre part qu’en vertu de l’ATAS/516/2015 que la chambre de céans a rendu le 30 juin 2015, elle doit compléter l’instruction du dossier, par le moyen d’une expertise orthopédique à confier à un expert indépendant, sur la question d’un statu quo ante ou statu quo sine en lien avec l’accident que le recourant avait subi le 6 novembre 2012 au niveau du genou gauche.</w:t>
      </w:r>
    </w:p>
    <w:p>
      <w:r>
        <w:t>A/539/2015 - 19/20 -</w:t>
      </w:r>
    </w:p>
    <w:p>
      <w:r>
        <w:t>Il apparaît dès lors non seulement justifié en soi, mais aussi raisonnable que l’expertise porte aussi sur les éventuelles séquelles des lésions que le recourant a subies au niveau de sa cheville gauche les 27 février 2012 et 2 juin 2014, le cas échéant sur la ou les dates jusqu’auxquelles ces séquelles ont subsisté.</w:t>
      </w:r>
    </w:p>
    <w:p>
      <w:r>
        <w:t>La chambre de céans admettra donc le présent recours, annulera la décision sur opposition attaquée du 20 janvier 2015 (ce qui implique l’annulation de la décision du 30 septembre 2014) et renverra le dossier à l’intimée pour instruction complémentaire et nouvelle décision au sens des considérants. 11. a. Pour le surplus, la procédure est gratuite (art. 61 let. a LPGA).</w:t>
      </w:r>
    </w:p>
    <w:p>
      <w:r>
        <w:t>b. Représenté par un mandataire et obtenant gain de cause, le recourant a droit à une indemnité, qui sera fixée à CHF 1'000.-, à titre de participation à ses frais et dépens (art. 61 let. g LPGA ; art. 89H LPA ; art. 6 du règlement sur les frais, émoluments et indemnités en procédure administrative, du 30 juillet 1986 [RFPA – E 5 10.03]).</w:t>
      </w:r>
    </w:p>
    <w:p>
      <w:r>
        <w:t>Le recourant plaidant dans la présente procédure au bénéfice de l’assistance juridique, selon une décision de la présidence du Tribunal civil du 24 février 2015, le dispositif du présent arrêt sera adressé en copie au service de l’assistance juridique du Pouvoir judiciaire. * * * * * *</w:t>
      </w:r>
    </w:p>
    <w:p>
      <w:r>
        <w:t>A/539/2015 - 20/20 -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