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ATAS/623/2024 vom 19. August 2022</w:t>
      </w:r>
    </w:p>
    <w:p>
      <w:r>
        <w:t>GE Cour de justice, 2022-08-19, FR</w:t>
      </w:r>
    </w:p>
    <w:p>
      <w:r>
        <w:rPr>
          <w:b/>
        </w:rPr>
        <w:t xml:space="preserve">Quelle: </w:t>
      </w:r>
      <w:r>
        <w:t>https://mcp.opencaselaw.ch/entscheid/ge_gerichte_ATAS_623_2024</w:t>
      </w:r>
    </w:p>
    <w:p>
      <w:r>
        <w:t>FR: GE_GERICHTE ATAS/623/2024 du 19 août 2022</w:t>
      </w:r>
    </w:p>
    <w:p>
      <w:r>
        <w:t>IT: GE_GERICHTE ATAS/623/2024 del 19 agosto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été rendue antérieurement au 1er janvier 2022, de sorte que les dispositions légales applicables seront citées dans leur ancienne teneur.</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droit du recourant à une rente entière d’invalidité, au-delà du 28 février 2021, étant relevé que l’intimé a admis, en cours de procédure, un droit du recourant à une demi-rente d’invalidité en lieu et place d’un quart de rente d’invalidité dès le 1er mars 2021.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A/2957/2021 - 9/14 -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3.2</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w:t>
      </w:r>
    </w:p>
    <w:p>
      <w:r>
        <w:t>A/2957/2021 - 10/14 -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3.3.1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3.3.2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w:t>
      </w:r>
    </w:p>
    <w:p>
      <w:r>
        <w:t>A/2957/2021 - 11/14 -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3.3.3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t>A/2957/2021 - 12/14 -</w:t>
      </w:r>
    </w:p>
    <w:p>
      <w:r>
        <w:rPr>
          <w:b/>
        </w:rPr>
        <w:t>E. 4</w:t>
      </w:r>
    </w:p>
    <w:p>
      <w:r>
        <w:t>En l’occurrence, dans la décision attaquée, l’intimé a retenu une capacité de travail du recourant nulle dans toute activité dès le 16 décembre 2016 et de 80% dans une activité adaptée à son état de santé dès le 1er décembre 2020 ; le degré d’invalidité était de 100% dès le 1er décembre 2017 et de 40% dès le 1er décembre 2020, de sorte que le recourant avait droit à une rente entière d’invalidité dès le 1er février 2018 (sa demande étant tardive) et à un quart de rente d’invalidité dès le 1er mars 2021. Après avoir pris connaissance du rapport d’expertise judiciaire bidisciplinaire, l’intimé a modifié son appréciation et retenu une capacité de travail du recourant dès le 1er décembre 2020, de 50% dans une activité adaptée et nulle dès le 23 décembre 2021. Le degré d’invalidité était, dès le 1er décembre 2020, de 58%, de sorte que le recourant avait droit à une demi-rente d’invalidité dès le 1er mars 2021. Quant au recourant, il estime avoir droit, dès le 1er février 2018, à une rente entière d’invalidité, dès lors que l’expertise judiciaire a conclu à une capacité de travail nulle dès janvier 2017.</w:t>
      </w:r>
    </w:p>
    <w:p>
      <w:r>
        <w:rPr>
          <w:b/>
        </w:rPr>
        <w:t>E. 4.1</w:t>
      </w:r>
    </w:p>
    <w:p>
      <w:r>
        <w:t>Le rapport d’expertise judiciaire bidisciplinaire, y compris l’appréciation consensuelle des experts, fondé sur les pièces du dossier, comprenant une anamnèse complète, la description des plaintes du recourant, des diagnostics et limitations fonctionnelles clairs et une motivation convaincante, répond aux réquisits jurisprudentiels précités pour qu’il lui soit reconnu une pleine valeur probante. Il est admis par les parties que le recourant présente une capacité de travail nulle dans toute activité depuis le 16 décembre 2016 jusqu’au 30 novembre 2020 et dès le 23 décembre 2021. Reste litigieuse la période du 1er décembre 2020 au 22 décembre 2021, singulièrement celle - pertinente dans le cadre de la présente procédure - du 1er décembre 2020 au jour de la décision litigieuse, le 8 juillet 2021.</w:t>
      </w:r>
    </w:p>
    <w:p>
      <w:r>
        <w:rPr>
          <w:b/>
        </w:rPr>
        <w:t>E. 4.1.1</w:t>
      </w:r>
    </w:p>
    <w:p>
      <w:r>
        <w:t>L’expert psychiatre conclut à une capacité de travail du recourant réduite à un taux de 50% depuis novembre 2019. L’intimé, en se ralliant à l’avis du SMR du 8 avril 2014, a considéré que les conclusions de l’expert étaient convaincantes, ce qui peut être confirmé.</w:t>
      </w:r>
    </w:p>
    <w:p>
      <w:r>
        <w:rPr>
          <w:b/>
        </w:rPr>
        <w:t>E. 4.1.2</w:t>
      </w:r>
    </w:p>
    <w:p>
      <w:r>
        <w:t>L’expert orthopédique a conclu à une activité du recourant adaptée aux limitations fonctionnelles possible en théorie mais pas en pratique, car l’activité adaptée devait être exercée en position couchée, le recourant n’étant pas à même de travailler en position assise plus de 5 à 10 minutes, devant ensuite changer de position. Il retient que l’état de santé du recourant s’est détérioré entre l’expertise du 1er février 2021 et son propre examen du 5 mai 2023 et que la capacité de travail de celui-ci était probablement nulle depuis janvier 2022. Cette appréciation a été confirmée par le SMR, lequel retient une aggravation de l’état de santé du recourant depuis l’intervention chirurgicale du 23 décembre</w:t>
      </w:r>
    </w:p>
    <w:p>
      <w:r>
        <w:t>A/2957/2021 - 13/14 - 2021 entrainant une incapacité de travail totale depuis cette date. Cette appréciation peut également être confirmée.</w:t>
      </w:r>
    </w:p>
    <w:p>
      <w:r>
        <w:rPr>
          <w:b/>
        </w:rPr>
        <w:t>E. 4.1.3</w:t>
      </w:r>
    </w:p>
    <w:p>
      <w:r>
        <w:t>Dans leur appréciation consensuelle, les experts rappellent que, du point de vue orthopédique, la capacité de travail est nulle dans toute activité depuis janvier 2022 et de 50% du point de vue psychiatrique depuis novembre 2019. Ils considèrent cependant qu’au vu du cumul de l’atteinte psychique et de l’atteinte physique, laquelle allait en se péjorant, l’incapacité de travail était probablement totale depuis novembre 2019. Cette conclusion, motivée par l’interaction entre les diagnostics somatiques et psychiques et résultant d’un échange consensuel entre les experts, est convaincante. Le SMR ne s’est d’ailleurs pas prononcé sur cette appréciation consensuelle. L’intimé a cependant considéré (dans sa dernière écriture du 19 juillet 2024) qu’elle ne se fondait pas sur des éléments somatiques concrets objectivables. Cette critique ne permet toutefois pas de mettre en cause l’appréciation consensuelle des experts, dès lors que l’intimé ne se prononce pas sur l’interaction des diagnostics existant depuis novembre 2019, lesquels justifient, selon les experts, l’absence d’exigibilité de toute activité. Ainsi, contrairement à la position de l’intimé, lequel retient que le recourant présentait, au 1er décembre 2020, une capacité de travail de 50% dans une activité adaptée, l’incapacité de travail totale perdure à cette date.</w:t>
      </w:r>
    </w:p>
    <w:p>
      <w:r>
        <w:rPr>
          <w:b/>
        </w:rPr>
        <w:t>E. 4.2</w:t>
      </w:r>
    </w:p>
    <w:p>
      <w:r>
        <w:t>Au demeurant, les conclusions de l’expertise judiciaire bidisciplinaire peuvent être suivies et le recourant doit être considéré comme incapable de travailler dans toute activité depuis le 16 décembre 2016. Partant, il a droit à une rente entière d’invalidité depuis le 1er février 2018.</w:t>
      </w:r>
    </w:p>
    <w:p>
      <w:r>
        <w:rPr>
          <w:b/>
        </w:rPr>
        <w:t>E. 5</w:t>
      </w:r>
    </w:p>
    <w:p>
      <w:r>
        <w:t>Le recours sera admis et la décision litigieuse réformée dans le sens précité. Pour le surplus, le recourant obtenant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A/2957/2021 - 14/14 -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