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ATAS/623/2023 vom 24. August 2023</w:t>
      </w:r>
    </w:p>
    <w:p>
      <w:r>
        <w:t>GE Cour de justice, 2023-08-24, FR</w:t>
      </w:r>
    </w:p>
    <w:p>
      <w:r>
        <w:rPr>
          <w:b/>
        </w:rPr>
        <w:t xml:space="preserve">Quelle: </w:t>
      </w:r>
      <w:r>
        <w:t>https://mcp.opencaselaw.ch/entscheid/ge_gerichte_ATAS_623_2023</w:t>
      </w:r>
    </w:p>
    <w:p>
      <w:r>
        <w:t>FR: GE_GERICHTE ATAS/623/2023 du 24 août 2023</w:t>
      </w:r>
    </w:p>
    <w:p>
      <w:r>
        <w:t>IT: GE_GERICHTE ATAS/623/2023 del 24 agosto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A/4121/2022 - 5/16 - Le 1er janvier 2021 est entrée en vigueur la modification du 21 juin 2019 de la LPGA. Toutefois, dans la mesure où le recours était, au 1er janvier 2021, pendant devant la chambre de céans, il reste soumis à l’ancien droit (cf. art. 82a LPGA).</w:t>
      </w:r>
    </w:p>
    <w:p>
      <w:r>
        <w:rPr>
          <w:b/>
        </w:rPr>
        <w:t>E. 3</w:t>
      </w:r>
    </w:p>
    <w:p>
      <w:r>
        <w:t>Le 1er janvier 2017 est entrée en vigueur la modification du 25 septembre 2015 de la LAA. Dans la mesure où l'accident est survenu avant cette date, le droit du recourant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la SUVA de réduire à 31% la rente versée au recourant, avec effet au 1er février 2018, et de réclamer la restitution du trop-perçu jusqu’à cette date, singulièrement sur les revenus avec et sans invalidité.</w:t>
      </w:r>
    </w:p>
    <w:p>
      <w:r>
        <w:rPr>
          <w:b/>
        </w:rPr>
        <w:t>E. 6</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7.1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w:t>
      </w:r>
    </w:p>
    <w:p>
      <w:r>
        <w:t>A/4121/2022 - 6/16 -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7.2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w:t>
      </w:r>
    </w:p>
    <w:p>
      <w:r>
        <w:rPr>
          <w:b/>
        </w:rPr>
        <w:t>E. 7.3.2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du Tribunal fédéral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8C_45/2022 du 3 août 2022 consid. 3.2 et les références). Le Tribunal fédéral a précisé que s’agissant des cas de jeunes assurés qui ont été touchés par un événement assuré au début de leurs carrières professionnelles, le fait hypothétique d’une activité déterminée exercée des années plus tard sans</w:t>
      </w:r>
    </w:p>
    <w:p>
      <w:r>
        <w:t>A/4121/2022 - 7/16 - invalidité échappe à toute preuve stricte ce d’autant plus que l’exercice, tout au long de sa vie, de la profession apprise est de moins en moins la règle dans les circonstances sociales et économiques actuelles, alors que la qualification professionnelle permanente est répandue. Les exigences relatives au degré de preuve déterminant de la vraisemblance prépondérante ne doivent donc pas être exagérées. Néanmoins, la carrière professionnelle hypothétique doit paraître plus probable que la poursuite du travail initial (ATF 126 V 353 consid. 5b ; arrêts du Tribunal fédéral U 340/04 du 9 mars 2005 consid. 2.2 et 2.3 et I 400/06 du 2 mai 2007 consid. 4). Dans la procédure de révision, à la différence de la procédure initiale à l'issue de laquelle le droit à la rente est déterminé pour la première fois, il sied de considérer que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 arrêt du Tribunal fédéral 8C_564/2013 du 17 octobre 2013 consid. 6.1 et références).</w:t>
      </w:r>
    </w:p>
    <w:p>
      <w:r>
        <w:rPr>
          <w:b/>
        </w:rPr>
        <w:t>E. 7.4.1</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ATF 135 V 297 consid. 5.2 et les références).</w:t>
      </w:r>
    </w:p>
    <w:p>
      <w:r>
        <w:rPr>
          <w:b/>
        </w:rPr>
        <w:t>E. 7.4.2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ATF 143 V 295 consid. 2.2 et les références).</w:t>
      </w:r>
    </w:p>
    <w:p>
      <w:r>
        <w:rPr>
          <w:b/>
        </w:rPr>
        <w:t>E. 7.4.3</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w:t>
      </w:r>
    </w:p>
    <w:p>
      <w:r>
        <w:t>A/4121/2022 - 8/16 - (ATF 113 V 22 consid. 4 et les références ; ATF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7.5</w:t>
      </w:r>
    </w:p>
    <w:p>
      <w:r>
        <w:t>Le taux d'invalidité doit être arrondi au pourcentage supérieur ou inférieur selon les règles mathématiques reconnues. Si le résultat est inférieur ou égal à x.49... %, il convient donc de l’arrondir à x %. Cela vaut également dans l'assurance-accidents, même si l'arrondi à l'unité supérieure ou inférieure (hormis la valeur de référence de 10 % [cf. art. 18 al. 1 LAA]) représente une perte ou un gain de quelques francs sur le montant mensuel de la rente (ATF 131 V 121 consid. 3.2. et 3.3 et les références ; arrêt du Tribunal fédéral 8C_167/2022 du 18 août 2022 consid. 5.4).</w:t>
      </w:r>
    </w:p>
    <w:p>
      <w:r>
        <w:rPr>
          <w:b/>
        </w:rPr>
        <w:t>E. 8</w:t>
      </w:r>
    </w:p>
    <w:p>
      <w:r>
        <w:t>Conformément à l’art. 17 al. 1 LPGA dans sa teneur jusqu’au 31 décembre 2021, si le taux d'invalidité du bénéficiaire de la rente subit une modification notable, la rente est, d'office ou sur demande, révisée pour l'avenir, à savoir augmentée ou réduite en conséquence, ou encore supprimée.</w:t>
      </w:r>
    </w:p>
    <w:p>
      <w:r>
        <w:rPr>
          <w:b/>
        </w:rPr>
        <w:t>E. 8.1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147 V 167 consid. 4.1).</w:t>
      </w:r>
    </w:p>
    <w:p>
      <w:r>
        <w:t>A/4121/2022 - 9/16 -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sans que des évaluations antérieures ne revêtent un caractère obligatoire (ATF 141 V 9 consid. 2.3). En application de ce principe, le Tribunal fédéral a notamment retenu que le taux d’invalidité dans le cadre d’une révision du droit à la rente devait être établi sans référence au calcul effectué antérieurement par l’assurance-invalidité, dans le cas d’espèce en application de l’art. 31 aLAI dont la teneur avait dans l’intervalle été modifiée (arrêt du Tribunal fédéral 9C_718/2016 du 14 février 2017 consid. 6.2).</w:t>
      </w:r>
    </w:p>
    <w:p>
      <w:r>
        <w:rPr>
          <w:b/>
        </w:rPr>
        <w:t>E. 8.2</w:t>
      </w:r>
    </w:p>
    <w:p>
      <w:r>
        <w:t>La révision peut concerner les revenus sur lesquels se base la comparaison. Une augmentation du revenu d’invalide relève d’un motif de révision (KIESER, ATSG-Kommentar, 4ème éd. 2020, n. 37 ad art. 17). L’institution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w:t>
      </w:r>
    </w:p>
    <w:p>
      <w:r>
        <w:rPr>
          <w:b/>
        </w:rPr>
        <w:t>E. 8.3</w:t>
      </w:r>
    </w:p>
    <w:p>
      <w:r>
        <w:t>Dans le domaine de l'assurance-accidents, le caractère notable de la modification est admis lorsque le degré d'invalidité diffère d'au moins de 5 % du taux initial (ATF 140 V 85 consid. 4.3 ; 133 V 545 consid. 6.2).</w:t>
      </w:r>
    </w:p>
    <w:p>
      <w:r>
        <w:rPr>
          <w:b/>
        </w:rPr>
        <w:t>E. 9.1</w:t>
      </w:r>
    </w:p>
    <w:p>
      <w:r>
        <w:t>En l’espèce, dans la décision sur opposition querellée, l’intimée a maintenu le revenu sans invalidité indiqué dans la décision initiale d’octroi de rente, tout en l’indexant, et a revu, à la hausse, le revenu avec invalidité, en y incluant la rémunération résultant de l’activité accessoire exercée par le recourant, retenant, dans un premier temps, les montants ressortant de l’extrait de son compte individuel, pour finalement prendre en considération les montants – inférieurs – ressortant des décisions de la FER-CIAM. De son côté, le recourant estime que le revenu sans invalidité doit être modifié afin de tenir compte de la progression professionnelle qui aurait été la sienne s’il n’avait pas été victime de l’accident assuré. De plus, il conteste la prise en considération de son revenu d’indépendant, assimilant cette activité à un hobby.</w:t>
      </w:r>
    </w:p>
    <w:p>
      <w:r>
        <w:rPr>
          <w:b/>
        </w:rPr>
        <w:t>E. 9.2.1</w:t>
      </w:r>
    </w:p>
    <w:p>
      <w:r>
        <w:t>S’agissant tout d’abord du revenu sans invalidité, la chambre de céans peut concevoir, à l’instar du recourant et du TAF, qu’il est peu probable que le recourant aurait occupé en février 2018 encore, lors de la révision de sa rente, son</w:t>
      </w:r>
    </w:p>
    <w:p>
      <w:r>
        <w:t>A/4121/2022 - 10/16 - premier poste de travail avec un salaire qui n’aurait pas progressé depuis 1999, si ce n’est l’indexation. En effet, l’assuré, né en 1972, se trouvait au moment de l’accident de 1993 au début de sa carrière professionnelle et il est fortement probable que son salaire aurait augmenté au fil du temps compte tenu de ses expériences et capacités professionnelles acquises. En effet, comme le Tribunal fédéral l’a relevé, dans la procédure de révision, à la différence de la procédure initiale à l'issue de laquelle le droit à la rente est déterminé pour la première fois, le parcours professionnel effectivement suivi entre-temps par la personne assurée est connu, ce qui permet, le cas échéant, de faire des déductions (supplémentaires) quant à l'évolution professionnelle et salariale hypothétique sans atteinte à la santé (ATF 139 V 28 consid. 3.3.3.2 ; arrêt du Tribunal fédéral 8C_564/2013 du 17 octobre 2013 consid. 6.1 et références). Or, dans le cas d’espèce, depuis son accident le 8 décembre 1993, le recourant a accompli avec succès une formation de technicien « ET » en électrotechnique- électronique (diplôme délivré le 16 novembre 1998). Il a également obtenu le First Certificate in English Council Level B2 délivré par l’Université de Cambridge le 11 août 2009. Le 21 mars 2013, il a obtenu le certificat professionnel Bachelor ODEC in Engineering – Electrical Engineering. Le 19 février 2015, le recourant a encore obtenu un certificat de technicien en informatique. Il a, enfin, achevé une formation en vue de la délivrance d’un certificat ITL Fondation Examination dans le domaine des « IT ». Ces certificats et diplômes successifs montrent que le recourant aurait, selon toute vraisemblance, également tenté de progresser dans son parcours professionnel initial, de sorte que le salaire de 1999, actualisé à 2018, ne représente pas – ou du moins plus – ce qu’il aurait été en mesure de gagner sans invalidité. Il convient donc de retenir, avec le TAF, que le revenu sans invalidité doit être déterminé sur la base des données statistiques de l’ESS, afin de tenir compte de la progression professionnelle que le recourant aurait connue sans atteinte à la santé et que ce dernier aurait de toute évidence occupé un poste nécessitant un niveau de compétences 3 (tâches pratiques complexes nécessitant un vaste ensemble de connaissances dans un domaine spécialisé). Il convient dès lors d’établir le revenu en fonction de l’ESS 2018, qui était disponible lorsque l’intimée a rendu sa décision litigieuse. Selon la table TA1_tirage_skill_level différenciée d’après le niveau de compétences (cf. ATF 143 V 295 consid. 4.2.2), il apparaît qu’un homme d’un niveau de compétences 3 gagnait en 2018 dans la branche 26 « Fabrication des produits informatiques, électroniques » dans laquelle l’assuré a débuté un salaire mensuel de CHF 7'433.- pour 40 heures/semaine, respectivement de CHF 7'526.- pour 40.5 heures/semaine alors usuelles dans cette branche, soit de CHF 90'312.- par an (CHF 7'526.- x 12 ; le salaire mensuel statistique tenant déjà compte du 13ème salaire [cf. la note « Composantes du salaire » de la table TA1_tirage_skill_level]).</w:t>
      </w:r>
    </w:p>
    <w:p>
      <w:r>
        <w:t>A/4121/2022 - 11/16 - C’est donc un salaire sans invalidité de CHF 90'312.- qu’il convient de prendre en considération pour l’année 2018, étant encore précisé que la différence entre ce montant et celui évoqué par le TAF dans son arrêt est liée à l’indice retenu pour l’indexation.</w:t>
      </w:r>
    </w:p>
    <w:p>
      <w:r>
        <w:rPr>
          <w:b/>
        </w:rPr>
        <w:t>E. 9.2.2</w:t>
      </w:r>
    </w:p>
    <w:p>
      <w:r>
        <w:t>S’agissant du revenu avec invalidité, il y a lieu de rappeler que le revenu réalisé après l’atteinte à la santé ne peut être pris en considération que si l’activité exercée repose sur des rapports de travail particulièrement stables. Or, force est de constater, tout d’abord, que le dossier soumis à la chambre de céans ne comporte aucune précision quant à la nature de l’activité accessoire du recourant et à son ampleur. Tout au plus peut-on supposer, à la lecture de l’arrêt C-666/52018 du TAF du 29 novembre 2019, que l’activité accessoire correspondait à des dépannages, contre rémunération, de connaissances avec leurs appareils informatiques privés ainsi qu’à de la création de sites internet (cf. arrêt précité consid. 10.3.4 p. 22), activités qualifiées d’occasionnelles par le TAF. Cela étant, quelle qu’ait été la nature exacte et l’ampleur de cette activité accessoire, force est de constater que le revenu en résultant a diminué d’année en année entre 2018 et 2021, pour finalement être nul. Dans ces circonstances, on ne saurait qualifier ladite activité accessoire de particulièrement stable. Partant, seuls les revenus de l’activité dépendante doivent être pris en considération, à savoir CHF 51'294.- pour 2018, CHF 52'778.- pour 2019, CHF 53'682.- pour 2020 et CHF 54'587.- pour 2021.</w:t>
      </w:r>
    </w:p>
    <w:p>
      <w:r>
        <w:rPr>
          <w:b/>
        </w:rPr>
        <w:t>E. 9.3</w:t>
      </w:r>
    </w:p>
    <w:p>
      <w:r>
        <w:t>La comparaison de revenus avec et sans invalidité précités conduit à un degré d’invalidité moyen de 42% pour les années 2018 à 2021 soit :</w:t>
      </w:r>
    </w:p>
    <w:p>
      <w:r>
        <w:t>salaire sans invalidité salaire avec invalidité degré d’invalidité 2018 90'312.- 51'294.- 43% 2019 (+ 0.9%) 91'125.- 52'778.- 42% 2020 (+ 0.8%) 91'854.- 53'682.- 42% 2021 (-0.7%) 91'171.- 54'587.- 40% Dans la mesure où le degré d’invalidité diffère en moyenne de 18% (degré d’invalidité initial : 60% ; degré d’invalidité au 1er février 2018 : 42%), le caractère notable de la modification doit être admis. Dans cette mesure, c’est donc à juste titre que l’intimée a révisé la rente versée au recourant et qu’elle l’a modifiée à la baisse. En revanche, la rente sera fixée à 42% et non à 23% comme dans la décision sur opposition querellée, ou à 31% comme proposé par l’intimée dans sa réponse.</w:t>
      </w:r>
    </w:p>
    <w:p>
      <w:r>
        <w:rPr>
          <w:b/>
        </w:rPr>
        <w:t>E. 10</w:t>
      </w:r>
    </w:p>
    <w:p>
      <w:r>
        <w:t>Reste à examiner le bien-fondé de la décision de restitution, étant précisé que, dans l’affirmative, le montant de CHF 80'380.10 devra quoi qu’il en soit être revu à la baisse, au vu des considérants précédents.</w:t>
      </w:r>
    </w:p>
    <w:p>
      <w:r>
        <w:t>A/4121/2022 - 12/16 -</w:t>
      </w:r>
    </w:p>
    <w:p>
      <w:r>
        <w:rPr>
          <w:b/>
        </w:rPr>
        <w:t>E. 10.1</w:t>
      </w:r>
    </w:p>
    <w:p>
      <w:r>
        <w:t>Selon l’art. 25 al. 1 1re phr. LPGA, les prestations indûment touchées doivent être restituées. Selon la jurisprudence, il faut pour cela que les conditions d'une révision procédurale (art. 53 al. 1 LPGA) ou d'une reconsidération (art. 53 al. 2 LPGA) de la décision initiale soient remplies (ATF 130 V 380 consid. 2.3.1, ATF 130 V 318 consid. 5.2 ; arrêt du Tribunal fédéral 8C_469/2013 du 24 février 2014 consid. 2, non publié à l’ATF 140 V 70, mais in : SVR 2014 UV n° 14 p. 44 ; dans les deux cas avec références).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10.2</w:t>
      </w:r>
    </w:p>
    <w:p>
      <w:r>
        <w:t>La suppression ou la réduction d’une rente d’invalidité de l’assurance- accidents intervient avec effet rétroactif (« ex tunc ») et les mensualités perçues ainsi indûment doivent être restituées même s'il n'y a pas eu violation de l'obligation d'annoncer (ATF 142 V 259 consid. 3.2 ; voir également PETREMAND in Commentaire de la LPGA, 2018, n° 47 et 49 ad art. 25).</w:t>
      </w:r>
    </w:p>
    <w:p>
      <w:r>
        <w:rPr>
          <w:b/>
        </w:rPr>
        <w:t>E. 10.3</w:t>
      </w:r>
    </w:p>
    <w:p>
      <w:r>
        <w:t>En vertu de l'art. 25 al. 2 1ère phrase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1ère phrase aLPGA prévoyait que le droit de demander la restitution s’éteignait un an après le moment où l’institution d’assurance avait eu connaissance du fait, mais au plus tard cinq ans après le versement de la prestation.</w:t>
      </w:r>
    </w:p>
    <w:p>
      <w:r>
        <w:rPr>
          <w:b/>
        </w:rPr>
        <w:t>E. 10.3.1</w:t>
      </w:r>
    </w:p>
    <w:p>
      <w:r>
        <w:t>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w:t>
      </w:r>
    </w:p>
    <w:p>
      <w:r>
        <w:rPr>
          <w:b/>
        </w:rPr>
        <w:t>E. 10.3.2</w:t>
      </w:r>
    </w:p>
    <w:p>
      <w:r>
        <w:t>Les délais de l’art. 25 al. 2 LPGA sont des délais (relatif et absolu) de péremption, qui doivent être examinés d'office (ATF 133 V 579 consid. 4 ; ATF 128 V 10 consid. 1). Le délai de péremption relatif d'une année (de trois ans depuis le 1er janvier 2021) commence à courir dès le moment où l'administration aurait dû connaître les faits fondant l'obligation de restituer, en faisant preuve de l'attention que l'on pouvait</w:t>
      </w:r>
    </w:p>
    <w:p>
      <w:r>
        <w:t>A/4121/2022 - 13/16 -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11</w:t>
      </w:r>
    </w:p>
    <w:p>
      <w:r>
        <w:t>En l’espèce, par décision du 15 mai 2018, l’intimée a confirmé le versement d’une rente d’invalidité de 60%. Toutefois, à cette date, le revenu total du recourant avait déjà augmenté. Ce n’est que par décision du 21 avril 2022, confirmée sur opposition le 3 novembre 2022, que l’intimée a ramené, avec effet au 1er février 2018, la rente d’invalidité servie au recourant, de 60% à 23%, et qu’elle lui a réclamé la restitution de CHF 80'380,10 correspondant à la part des rentes d’invalidité versée à tort entre le 1er février 2018 et le 31 mars 2022.</w:t>
      </w:r>
    </w:p>
    <w:p>
      <w:r>
        <w:t>A/4121/2022 - 14/16 - De toute évidence, la décision par laquelle l’intimée a confirmé la continuation du versement d’une rente à 60% reposait sur un état de fait erroné. Il s’agit là d’un motif de reconsidération. Se pose donc la question du délai dans lequel l’intimée devait requérir la restitution des prestations versées à tort. Force est de constater que le 23 novembre 2017, l’OAI a transmis à l’intimée, par SEDEX, pour le compte de l’OAIE, la décision de suppression de rente du même jour, dans lequel il est fait état d’un revenu avec invalidité supérieur à celui retenu pour le calcul de la rente d’invalidité de l’assurance-accidents. Cet élément a d’ailleurs été porté à la connaissance de l’intimée le 12 janvier 2018 par le recourant lui-même (pièce 27, rec.). Ainsi, en date du 15 mai 2018, l’intimée disposait des éléments nécessaires pour savoir que la rente d’invalidité due à l’assuré ne pouvait s’élever à 60%, de sorte que la continuation du versement d’une rente à ce taux résulte d’une faute imputable à l’administration. Toutefois, le délai ne commence pas à courir dès la commission de la faute mais dès le moment où l’administration aurait dû, par la suite, s’en rendre compte. Or, au vu des pièces du dossier, c’est n’est qu’au mois de juillet 2021, soit après la réception de la décision de suppression de l’OAI, que l’intimée pouvait, dans un second temps, se rendre compte de son erreur. C’est donc à compter de cette date que le délai relatif de trois ans a commencé à courir. Dans la mesure où la décision de restitution a été rendue le 21 avril 2022, soit largement dans le délai de trois ans de l’art. 25 LPGA, elle l’a été en temps utile. Par ailleurs, conformément à l’ATF 142 V 259 consid. 3.2, c’est à juste titre que l’intimée a demandé la restitution des prestations indûment versées indépendamment de l’existence d’une violation de l’obligation d’annoncer (cf. consid. 10.2 supra). Cependant, comme cela ressort des considérants qui précèdent, c’est une rente de 42% que la SUVA aurait dû verser au recourant à compter du 1er février 2018. Dans cette mesure, la restitution ne peut porter que sur les 18% de rente versés à tort. Aussi, la cause sera-t-elle renvoyée à l’intimée pour nouveau calcul du montant à restituer, celui-ci devant être calculé en fonction d’une rente d’invalidité de 42%.</w:t>
      </w:r>
    </w:p>
    <w:p>
      <w:r>
        <w:rPr>
          <w:b/>
        </w:rPr>
        <w:t>E. 12</w:t>
      </w:r>
    </w:p>
    <w:p>
      <w:r>
        <w:t>Au vu de ce qui précède, le recours sera partiellement admis et la décision sur opposition querellée sera annulée. Le recourant sera mis au bénéfice d’une rente d’invalidité de 42% avec effet rétroactif au 1er février 2018. La cause sera par ailleurs renvoyée à l’intimée pour calcul du montant à restituer compte tenu d’une rente d’invalidité de 42% et nouvelle décision.</w:t>
      </w:r>
    </w:p>
    <w:p>
      <w:r>
        <w:t>A/4121/2022 - 15/16 -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A/4121/2022 - 16/16 -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