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ATAS/623/2015 vom 25. August 2015</w:t>
      </w:r>
    </w:p>
    <w:p>
      <w:r>
        <w:t>GE Cour de justice, 2015-08-25, FR</w:t>
      </w:r>
    </w:p>
    <w:p>
      <w:r>
        <w:rPr>
          <w:b/>
        </w:rPr>
        <w:t xml:space="preserve">Quelle: </w:t>
      </w:r>
      <w:r>
        <w:t>https://mcp.opencaselaw.ch/entscheid/ge_gerichte_ATAS_623_2015</w:t>
      </w:r>
    </w:p>
    <w:p>
      <w:r>
        <w:t>FR: GE_GERICHTE ATAS/623/2015 du 25 août 2015</w:t>
      </w:r>
    </w:p>
    <w:p>
      <w:r>
        <w:t>IT: GE_GERICHTE ATAS/623/2015 del 25 agosto 2015</w:t>
      </w:r>
    </w:p>
    <w:p>
      <w:pPr>
        <w:pStyle w:val="Heading2"/>
      </w:pPr>
      <w:r>
        <w:t>Erwägungen</w:t>
      </w:r>
    </w:p>
    <w:p>
      <w:r>
        <w:rPr>
          <w:b/>
        </w:rPr>
        <w:t>E. 9</w:t>
      </w:r>
    </w:p>
    <w:p>
      <w:r>
        <w:t>Par courrier du 4 décembre 2014 adressé au SPC, l’assurée a contesté la décision sur opposition du 11 novembre 2014. En premier lieu, elle a souligné qu’elle ne disposait plus que de CHF 327.- sur son compte postal, et réitéré que son épargne devait être fixée sur la base du solde de son compte auprès de la Banque Migros. En second lieu, elle a invoqué que la valeur de son appartement de Zinal avait diminué en raison des conséquences liées à l'adoption de la Lex Weber. Elle a joint : - deux extraits actualisés de ses comptes auprès de la Poste et de la Banque Migros, mentionnant des soldes respectifs de CHF 327.- au 5 novembre 2014 et CHF 11'389.05 au 25 novembre 2014 ; - une nouvelle estimation de son appartement d’Anniviers, établie le 26 novembre 2014 par l’agent immobilier D______, évaluant désormais à CHF 235'000.- le bien en question, en tenant compte de son état, du marché local et des « conséquences de la Lex Weber » ; il était précisé qu’en raison des incertitudes juridiques liées à cette loi, les transactions immobilières étaient devenues particulièrement rares à Zinal.</w:t>
      </w:r>
    </w:p>
    <w:p>
      <w:r>
        <w:rPr>
          <w:b/>
        </w:rPr>
        <w:t>E. 10</w:t>
      </w:r>
    </w:p>
    <w:p>
      <w:r>
        <w:t>Le 10 décembre 2014, le SPC a transmis le courrier du 4 décembre 2014 à la chambre de céans, considérant qu’il relevait de sa compétence.</w:t>
      </w:r>
    </w:p>
    <w:p>
      <w:r>
        <w:rPr>
          <w:b/>
        </w:rPr>
        <w:t>E. 11</w:t>
      </w:r>
    </w:p>
    <w:p>
      <w:r>
        <w:t>Le 12 décembre 2014, la chambre des assurances sociales de la Cour de justice a informé l’assurée que son recours avait été enregistré sous le numéro de cause A/3823/2014. Elle a également invité le SPC à lui transmettre sa réponse et son dossier.</w:t>
      </w:r>
    </w:p>
    <w:p>
      <w:r>
        <w:rPr>
          <w:b/>
        </w:rPr>
        <w:t>E. 12</w:t>
      </w:r>
    </w:p>
    <w:p>
      <w:r>
        <w:t>Dans sa réponse du 19 janvier 2015, l’intimé a conclu au rejet du recours. Il a exposé qu’en cas de diminution de fortune, un nouveau calcul des prestations complémentaires ne pouvait être effectué qu’une fois par an, de sorte que l’épargne de l’assurée, mise à jour le 31 août 2014, ne pouvait être actualisée une nouvelle fois avant le 31 décembre 2014. Il a précisé avoir déjà tenu compte de l’épargne de la recourante auprès de la Banque Migros, soit CHF 11'389.05. En revanche, contrairement à ce que cette dernière semblait croire, il n’avait pas intégré dans ses calculs les CHF 20'670.- versés à sa maison de retraite. S’agissant de la diminution alléguée de la valeur de l’appartement de Zinal, il a rétorqué qu’elle n’était pas étayée par une quelconque preuve.</w:t>
      </w:r>
    </w:p>
    <w:p>
      <w:r>
        <w:rPr>
          <w:b/>
        </w:rPr>
        <w:t>E. 13</w:t>
      </w:r>
    </w:p>
    <w:p>
      <w:r>
        <w:t>Invitée par la chambre de céans à se déterminer, la recourante n’a pas présenté d’observations.</w:t>
      </w:r>
    </w:p>
    <w:p>
      <w:r>
        <w:rPr>
          <w:b/>
        </w:rPr>
        <w:t>E. 14</w:t>
      </w:r>
    </w:p>
    <w:p>
      <w:r>
        <w:t>a. S’agissant du « produit des biens immobiliers » de CHF 8'606.25, l’intimé a calculé sa valeur annuelle en faisant application du taux forfaitaire de 4,5% de la valeur vénale. L’application de ce taux forfaitaire n’est ni contestée, ni contestable. De surcroît, selon la doctrine, même un taux supérieur de 5% serait encore raisonnable (cf. supra consid. 8b ; ATAS/1122/2013 du 19 novembre 2013, consid. 15b). b. Quant aux frais d’entretien de l’immeuble, fixés à CHF 1'721.25, l’intimé en a tenu compte forfaitairement à raison de 20 % de la valeur locative hypothétique, en application de l’art. 20 al. 2 RIPP. Aucun reproche ne peut lui être formulé sur ce point.</w:t>
      </w:r>
    </w:p>
    <w:p>
      <w:r>
        <w:rPr>
          <w:b/>
        </w:rPr>
        <w:t>E. 15</w:t>
      </w:r>
    </w:p>
    <w:p>
      <w:r>
        <w:t>Eu égard aux considérations qui précèdent, le recours, mal fondé, doit être rejeté. La recourante, qui succombe, n’a pas droit à une indemnité de dépens. Pour le surplus, la procédure est gratuite (art. 61 let. a et g LPGA ; art. 89H LPA).</w:t>
      </w:r>
    </w:p>
    <w:p>
      <w:r>
        <w:t>A/3823/2014 - 12/12 -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