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ATAS/622/2011 vom 15. Juni 2011</w:t>
      </w:r>
    </w:p>
    <w:p>
      <w:r>
        <w:t>GE Cour de justice, 2011-06-15, FR</w:t>
      </w:r>
    </w:p>
    <w:p>
      <w:r>
        <w:rPr>
          <w:b/>
        </w:rPr>
        <w:t xml:space="preserve">Quelle: </w:t>
      </w:r>
      <w:r>
        <w:t>https://mcp.opencaselaw.ch/entscheid/ge_gerichte_ATAS_622_2011</w:t>
      </w:r>
    </w:p>
    <w:p>
      <w:r>
        <w:t>FR: GE_GERICHTE ATAS/622/2011 du 15 juin 2011</w:t>
      </w:r>
    </w:p>
    <w:p>
      <w:r>
        <w:t>IT: GE_GERICHTE ATAS/622/2011 del 15 giugno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A/171/2011 - 4/9 - Interjeté dans la forme et le délai prescrits, le recours est recevable (art. 60 et 61 let. b LPGA).</w:t>
      </w:r>
    </w:p>
    <w:p>
      <w:r>
        <w:rPr>
          <w:b/>
        </w:rPr>
        <w:t>E. 2</w:t>
      </w:r>
    </w:p>
    <w:p>
      <w:r>
        <w:t>La recourante soutient que la décision querellée ne tient pas compte de ses atteintes tant physique que psychique. Elle expose n'avoir aucune formation, ne plus pouvoir lever des poids importants ni rester de manière prolongée en position assise ou debout, être limitée dans les mouvements de son bras droit et être âgée de 57 ans. Ces facteurs rendent impossible l'exercice d'une quelconque activité. Par ailleurs, ils justifient une réduction de 20% du gain d'invalide. 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S’agissant du droit à une rente, la survenance de l’invalidité correspond au moment où celui-ci prend naissance, en application de l’art. 29 al. 1 LAI, soit dès que l’assuré présente une incapacité de gain durable de 40% au moins ou dès qu’il a présenté, en moyenne, une incapacité de travail de 40% au moins pendant une année sans interruption notable, mais au plus tôt le 1er jour du mois qui suit le dix-huitième anniversaire de l’assuré (art. 29 al. 2 LAI ; ATF 126 V 5 9 consid. 2b et références citées).</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cf. ATF 130 III 324</w:t>
      </w:r>
    </w:p>
    <w:p>
      <w:r>
        <w:t>A/171/2011 - 5/9 - consid. 3.2 et 3.3). Aussi, il n'existe pas, en droit des assurances sociales, un principe selon lequel l'administration ou le juge devrait statuer, dans le doute, en faveur de l'assuré (ATF 126 V 322 consid. 5a).</w:t>
      </w:r>
    </w:p>
    <w:p>
      <w:r>
        <w:t>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b) En l'espèce, l'intimé a conclu à une capacité de travail entière dans une activité adaptée aux limitations fonctionnelles de l'assurée. Pour conclure de la sorte, l’intimé s’est basé sur le rapport des Drs C__________ et D__________. Force est de constater que ce rapport doit se voir reconnaitre pleine valeur probante au sens de la jurisprudence. En effet, il a été établi sur la base d'un examen clinique de l'assurée, des documents mis à la disposition des médecins précités et d'un exposé complet des plaintes exprimées par l'intéressée et son anamnèse. De plus, ces spécialistes en médecine interne rhumatologie, respectivement en psychiatrie, ont clairement expliqué les diagnostics retenus. Par ailleurs, la Cour de céans ne met en exergue aucune circonstance particulière permettant de douter de l’indépendance des Drs C__________ et D__________. Le Dr B__________ n'a avancé aucun élément permettant de mettre en doute les conclusions du Dr C__________ sur le plan somatique. Il ne diverge que sur la question de l'évaluation de la capacité de travail de sa patiente à exercer une activité lucrative eu égard à son état de santé physique. Or, sur ce point, le Dr C__________ a bien motivé son avis. Il a au demeurant décrit de manière plus précise que le Dr B__________ les positions et gestes à éviter. En tenant compte de ces limitations, la capacité de travail de l'assurée était entièrement préservée.</w:t>
      </w:r>
    </w:p>
    <w:p>
      <w:r>
        <w:t>Dans ces conditions, il n'y a pas lieu de s'écarter de l'avis du Dr C__________. Il convient à cet égard de rappeler qu'au vu de la divergence consacrée par la jurisprudence entre mandat thérapeutique et mandat d'expertise (ATF 124 I 170 consid. 4), on ne saurait remettre en cause un rapport médical ordonné par l'administration et procéder à de nouvelles investigations du seul fait qu'un médecin</w:t>
      </w:r>
    </w:p>
    <w:p>
      <w:r>
        <w:t>A/171/2011 - 6/9 - traitant émet une opinion contraire. Il n'en va différemment que si ces médecins traitants font état d'éléments objectivement vérifiables ayant été ignorés dans le cadre de l'expertise et qui sont suffisamment pertinents pour remettre en cause les conclusions de l'expert, ce qui n'est pas le cas en l'espèce. Il suit de ce qui précède que la Cour retiendra, conformément aux conclusions du rapport du Dr C__________, que la recourante est capable d'exercer à plein temps et avec un plein rendement une activité adaptée à ses limitations fonctionnelles. Sur le plan psychiatrique, le Dr B__________ a évoqué un état anxio-dépressif avec des difficultés d'adaptation et des crises d'angoisse. Le Dr D__________ a cependant constaté que la recourante ne présentait pas de troubles de l'attention, de la concentration ou de la mémoire, n'exprimait ni tristesse ni idées suicidaires et ne ressentait pas de perte d'intérêt ou de plaisir pour les activités de la vie quotidienne ou habituellement agréables. Le Dr D__________ n'a, en outre, pas constaté de symptomatologie anxieuse type crise de panique déclenchée au cours de l'entretien. Il a ainsi retenu, en conclusion, que la recourante ne présentait aucune atteinte sur le plan psychiatrique. La recourante elle-même ne fait pas valoir dans son recours que son état psychique aurait des répercussions sur sa capacité de travail. Enfin, il n'apparaît pas que le Dr B__________ ait prescrit des antidépresseurs ou des anxiolytiques à sa patiente ni un quelconque autre traitement pour des troubles psychiques. Il n'y a donc pas lieu de s'écarter non plus de l'appréciation du médecin psychiatre mandaté par le SMR. Ainsi, seules les atteintes physiques sus-décrites ainsi que les limitations fonctionnelles qu'elles entraînent seront prises en compte.</w:t>
      </w:r>
    </w:p>
    <w:p>
      <w:r>
        <w:rPr>
          <w:b/>
        </w:rPr>
        <w:t>E. 3</w:t>
      </w:r>
    </w:p>
    <w:p>
      <w:r>
        <w:t>Reste à se prononcer sur le calcul du degré d'invalidité effectué par l'intimé. a) L’art. 16 LPGA s’applique à l’évaluation de l’invalidité des assurés exerçant une activité lucrative, comme la recourante. Chez ces assurés,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A/171/2011 - 7/9 -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Le revenu d'invalide doit être évalué avant tout en fonction de la situation professionnelle concrète de l'intéressé. L'administration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28 consid. 4a; 109 V 28).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M. du 22 septembre 2006, I 636/06, consid. 3.2). Lorsque l'assuré n'a pas repris d'activité lucrative, ou aucune activité lui permettant de mettre pleinement en valeur sa capacité résiduelle de travail, contrairement à ce qui serait raisonnablement exigible de sa part, le revenu d'invalide peut alors être évalué sur la base, notamment, des données salariales publiées par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En l’espèce, il ressort des revenus réalisés entre 1997 et 2001 que la recourante a gagné en moyenne 39'033 fr. par an. Elle n'a plus travaillé par la suite en raison de ses problèmes de santé. Après indexation selon l'indice suisse des salaires nominaux (en 2001: 2'011; en 2009: 2'266; cf. site internet de l’Office fédéral de la statistique), son salaire sans invalidité aurait été en 2009 de 43'982 fr.</w:t>
      </w:r>
    </w:p>
    <w:p>
      <w:r>
        <w:t>A/171/2011 - 8/9 - Quant au revenu d’invalide, la recourante n’ayant pas repris l’exercice d’une activité lucrative, il convient de se référer aux salaires statistiques (Enquête suisse sur la structure des salaires - ESS; ATF 126 V 76 consid. 3b/aa et bb ; VSI 2002 p. 68 consid. 3b). Comme cela a été déterminé ci-dessus, la recourante pourrait exercer une activité adaptée à 100%. Eu égard au large éventail d'activités simples et répétitives offertes par les secteurs de la production et des services, on peut considérer qu'un marché du travail équilibré offre un nombre significatif de postes de travail légers correspondant à cette description et ne demandant aucune formation professionnelle (p.ex. activités simples de vérification ou de contrôle, conditionnement léger, emballage de petits objets, assemblage/lavage de pièces). Selon les données de l'ESS 2008, le revenu mensuel standardisé d’une femme exerçant une activité simple et répétitive s'élevait 4'131 par mois en 2008 (tableau TA1). Compte tenu de l’horaire de travail de 41,7 heures habituel dans les entreprises en 2009, cela équivaut à un revenu mensuel de 4'306 fr., soit 51'672 fr. par année, qu'il convient d'adapter pour 2009, selon l'indice suisse des salaires nominaux (en 2008 : 2'219 et en 2009 : 2'266; cf. site internet de l’Office fédéral de la statistique), de sorte qu'il s’élève à 52'766 fr. Quant à la question d'un abattement supplémentaire soulevée par la recourante dans sa détermination, il y a lieu de relever que ses limitations fonctionnelles, soit le changement de positions deux fois par heure, le port de charges, le mouvement répété de flexion/extension de la nuque, la génuflexion ou encore l’utilisation de l’épaule au-delà de 60%, ont également une répercussion sur le travail effectué par la recourante dans une activité adaptée et empêchent notamment toute polyvalence. En outre, la recourante était âgée de 56 ans en 2009 et ne maîtrise pas le français. De ce fait, il se justifie de prendre en considération un abattement de 25%. Partant, le revenu d’invalide est de 39'574 fr. La perte de salaire avec invalidité est ainsi de 10% (comparaison 43'982 fr. et 39'574 fr.). Or, une invalidité inférieure à 40% ne donne pas droit à une rente (art. 28 al. 2 LAI). Par ailleurs, à défaut de formation professionnelle initiale et du fait de la pleine capacité de travail de l'assurée dans une activité simple et répétitive, le reclassement ne se justifie pas non plus. Partant, l'intimé a refusé à juste titre l'octroi d'une rente ou d'autres prestations. Le recours doit donc être rejeté.</w:t>
      </w:r>
    </w:p>
    <w:p>
      <w:r>
        <w:rPr>
          <w:b/>
        </w:rPr>
        <w:t>E. 4</w:t>
      </w:r>
    </w:p>
    <w:p>
      <w:r>
        <w:t>Conformément à l’art. 69 al. 1 bis LAI, un émolument de 200 fr. est mis à la charge de la recourante, qui succombe.</w:t>
      </w:r>
    </w:p>
    <w:p>
      <w:r>
        <w:t>* * *</w:t>
      </w:r>
    </w:p>
    <w:p>
      <w:r>
        <w:t>A/171/2011 - 9/9 -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