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ATAS/622/2008 vom 9. September 2005</w:t>
      </w:r>
    </w:p>
    <w:p>
      <w:r>
        <w:t>GE Cour de justice, 2005-09-09, FR</w:t>
      </w:r>
    </w:p>
    <w:p>
      <w:r>
        <w:rPr>
          <w:b/>
        </w:rPr>
        <w:t xml:space="preserve">Quelle: </w:t>
      </w:r>
      <w:r>
        <w:t>https://mcp.opencaselaw.ch/entscheid/ge_gerichte_ATAS_622_2008</w:t>
      </w:r>
    </w:p>
    <w:p>
      <w:r>
        <w:t>FR: GE_GERICHTE ATAS/622/2008 du 9 septembre 2005</w:t>
      </w:r>
    </w:p>
    <w:p>
      <w:r>
        <w:t>IT: GE_GERICHTE ATAS/622/2008 del 9 settembre 2005</w:t>
      </w:r>
    </w:p>
    <w:p>
      <w:pPr>
        <w:pStyle w:val="Heading2"/>
      </w:pPr>
      <w:r>
        <w:t>Regeste</w:t>
      </w:r>
    </w:p>
    <w:p>
      <w:r>
        <w:t>Résumé: Le juge du divorce français a en réalité voulu retenir le partage par deux de la prévoyance professionnelle du mari, seul des époux travaillant en Suisse, respectant en cela l'ordre public suisse. Le chiffre arrêté par ce juge, erroné, ne saurait cependant être retenu car seul le juge des assurances sociales est compétent pour exécuter le partage, à défaut d'une déclaration de l'institution de prévoyance attestant du caractère réalisable dudit partage.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Tribunal de grande instance de Thonon-les-Bains a prononcé le divorce des époux et homologué la convention, aux termes de laquelle le demandeur devait verser à son ex-épouse la somme de 30'000 fr. représentant la moitié des avoirs qu'il avait accumulés en 1999.</w:t>
      </w:r>
    </w:p>
    <w:p>
      <w:r>
        <w:rPr>
          <w:b/>
        </w:rPr>
        <w:t>E. 4</w:t>
      </w:r>
    </w:p>
    <w:p>
      <w:r>
        <w:t>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w:t>
      </w:r>
    </w:p>
    <w:p>
      <w:r>
        <w:t>b. si la décision n’est plus susceptible de recours ordinaire ou si elle est définitive;</w:t>
      </w:r>
    </w:p>
    <w:p>
      <w:r>
        <w:t>c. s’il n’y a pas de motif de refus au sens de l’art. 27. L'art. 27 LDIP précise que la reconnaissance d’une décision étrangère doit être refusée en Suisse si elle est manifestement incompatible avec l’ordre public suisse.</w:t>
      </w:r>
    </w:p>
    <w:p>
      <w:r>
        <w:t>A/3495/2007 5/9 La reconnaissance d’une décision doit également être refusée si une partie établit : a. qu’elle n’a été citée régulièrement, ni selon le droit de son domicile, ni selon le droit de sa résidence habituelle, à moins qu’elle n’ait procédé au fond sans faire de réserve;</w:t>
      </w:r>
    </w:p>
    <w:p>
      <w:r>
        <w:t>b. que la décision a été rendue en violation de principes fondamentaux ressortissant à la conception suisse du droit de procédure, notamment que ladite partie n’a pas eu la possibilité de faire valoir ses moyens;</w:t>
      </w:r>
    </w:p>
    <w:p>
      <w:r>
        <w:t>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w:t>
      </w:r>
    </w:p>
    <w:p>
      <w:r>
        <w:t>b. d’une attestation constatant que la décision n’est plus susceptible de recours ordinaire ou qu’elle est définitive, et</w:t>
      </w:r>
    </w:p>
    <w:p>
      <w:r>
        <w:t>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w:t>
      </w:r>
    </w:p>
    <w:p>
      <w:r>
        <w:rPr>
          <w:b/>
        </w:rPr>
        <w:t>E. 5</w:t>
      </w:r>
    </w:p>
    <w:p>
      <w:r>
        <w:t>Il appartient ainsi au Tribunal de céans de statuer, à titre préjudiciel, sur la reconnaissance en Suisse du jugement de divorce rendu le 9 septembre 2005 par le Tribunal de grande instance de Thonon-les-Bains et devenu exécutoire le 19 octobre 2005.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w:t>
      </w:r>
    </w:p>
    <w:p>
      <w:r>
        <w:rPr>
          <w:b/>
        </w:rPr>
        <w:t>E. 6</w:t>
      </w:r>
    </w:p>
    <w:p>
      <w:r>
        <w:t>La reconnaissance d'une décision relative à la prévoyance professionnelle doit être compatible avec l'ordre public suisse (art. 27 al. 1 LDIP).</w:t>
      </w:r>
    </w:p>
    <w:p>
      <w:r>
        <w:t>A/3495/2007 6/9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7</w:t>
      </w:r>
    </w:p>
    <w:p>
      <w:r>
        <w:t>Il apparaît sur la base des explications données par le demandeur, que selon la convention conclue par les époux et ratifiée par le juge français, il s'agissait de procéder au partage de la moitié de ses avoirs LPP. On peut donc en conclure que le juge du Tribunal de grande instance de Thonon-les-Bains a fixé le principe et les proportions du partage en retenant la moitié du chiffre qui lui a été soumis. Cette clé de répartition est conforme à l'art. 122 CC. En effet selon cette disposition légale, "1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2 Lorsque les conjoints ont des créances réciproques, seule la différence entre ces deux créances doit être partagée". La convention s'y réfère du reste expressément. Par conséquent, il y a lieu de reconnaître le jugement de divorce français.</w:t>
      </w:r>
    </w:p>
    <w:p>
      <w:r>
        <w:rPr>
          <w:b/>
        </w:rPr>
        <w:t>E. 8</w:t>
      </w:r>
    </w:p>
    <w:p>
      <w:r>
        <w:t>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w:t>
      </w:r>
    </w:p>
    <w:p>
      <w:r>
        <w:t>A/3495/2007 7/9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comme en l'espèce (Le partage des avoirs de prévoyance en Suisse en relation avec des jugements de divorce étrangers, prise de position de l'Office fédéral de la justice du 28 mars 2001, SJ 2002 II, p. 397-402).</w:t>
      </w:r>
    </w:p>
    <w:p>
      <w:r>
        <w:rPr>
          <w:b/>
        </w:rPr>
        <w:t>E. 9</w:t>
      </w:r>
    </w:p>
    <w:p>
      <w:r>
        <w:t>Reste dès lors à exécuter le partage, étant rappelé que le calcul détaillé des prestations à partager incombe au Tribunal de céans.</w:t>
      </w:r>
    </w:p>
    <w:p>
      <w:r>
        <w:rPr>
          <w:b/>
        </w:rPr>
        <w:t>E. 10</w:t>
      </w:r>
    </w:p>
    <w:p>
      <w:r>
        <w:t>Les dates pertinentes sont, d’une part, celle du mariage, le 27 mars 1976, d’autre part le 19 octobre 2005, celle à laquelle le jugement de divorce est devenu définitif et exécutoire. Il y a à cet égard lieu de rappeler que selon les art. 122 CC et 22 LFLP, les avoirs à partager sont ceux qui ont été accumulés par chacun des époux durant le mariage, soit jusqu'au divorce et non comme le souhaiterait le demandeur, jusqu'à la séparation seulement.</w:t>
      </w:r>
    </w:p>
    <w:p>
      <w:r>
        <w:rPr>
          <w:b/>
        </w:rPr>
        <w:t>E. 11</w:t>
      </w:r>
    </w:p>
    <w:p>
      <w:r>
        <w:t>Selon les documents produits, la prestation acquise pendant le mariage par le demandeur est de 121'407 fr. 70, les intérêts ayant déjà été calculés par les institutions de prévoyance défenderesses. Ainsi le demandeur doit à son ex-épouse le montant de 60'703 fr. 85 (121'407 fr. 70 : 2). Il y a à cet égard lieu de préciser que l'institution de prévoyance concernée a confirmé disposer d'une prestation supérieure au montant dû en raison du partage. Le montant de 60'703 fr. 85 peut par ailleurs être versé en espèces à la demanderesse, celle-ci n'ayant jamais été affiliée au système de prévoyance professionnelle suisse.</w:t>
      </w:r>
    </w:p>
    <w:p>
      <w:r>
        <w:t>A/3495/2007 8/9</w:t>
      </w:r>
    </w:p>
    <w:p>
      <w:r>
        <w:rPr>
          <w:b/>
        </w:rPr>
        <w:t>E. 12</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13</w:t>
      </w:r>
    </w:p>
    <w:p>
      <w:r>
        <w:t>Aucun émolument ne sera perçu, la procédure étant gratuite (art. 73 al. 2 LPP et 89H al. 1 de la loi sur la procédure administrative du 12 septembre 1985).</w:t>
      </w:r>
    </w:p>
    <w:p>
      <w:r>
        <w:t>A/3495/2007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