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ATAS/621/2018 vom 29. Juni 2018</w:t>
      </w:r>
    </w:p>
    <w:p>
      <w:r>
        <w:t>GE Cour de justice, 2018-06-29, FR</w:t>
      </w:r>
    </w:p>
    <w:p>
      <w:r>
        <w:rPr>
          <w:b/>
        </w:rPr>
        <w:t xml:space="preserve">Quelle: </w:t>
      </w:r>
      <w:r>
        <w:t>https://mcp.opencaselaw.ch/entscheid/ge_gerichte_ATAS_621_2018</w:t>
      </w:r>
    </w:p>
    <w:p>
      <w:r>
        <w:t>FR: GE_GERICHTE ATAS/621/2018 du 29 juin 2018</w:t>
      </w:r>
    </w:p>
    <w:p>
      <w:r>
        <w:t>IT: GE_GERICHTE ATAS/621/2018 del 29 giugno 2018</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délai et forme prescrits par la loi, le recours est recevable (art. 56 ss LPGA).</w:t>
      </w:r>
    </w:p>
    <w:p>
      <w:r>
        <w:rPr>
          <w:b/>
        </w:rPr>
        <w:t>E. 3</w:t>
      </w:r>
    </w:p>
    <w:p>
      <w:r>
        <w:t>Est litigieux le calcul des prestations complémentaires fédérales et cantonales de la recourante, singulièrement si l’intimé est en droit de prendre en considération la valeur de rachat des deux rentes viagères avec restitution dont bénéficie la recourante.</w:t>
      </w:r>
    </w:p>
    <w:p>
      <w:r>
        <w:t>A/281/2018 - 4/7 -</w:t>
      </w:r>
    </w:p>
    <w:p>
      <w:r>
        <w:rPr>
          <w:b/>
        </w:rPr>
        <w:t>E. 4</w:t>
      </w:r>
    </w:p>
    <w:p>
      <w:r>
        <w:t>a. En vertu de l'art. 4 al. 1 let. a et c LPC, les personnes qui ont leur domicile et leur résidence habituelle en Suisse ont droit à des prestations complémentaires fédérales, dès lors qu'elles perçoivent une rente de vieillesse de l’assurance- vieillesse et survivants, ou ont droit à une rente ou à une allocation pour impotent de l’assurance-invalidité.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Selon l’art. 11 al. 1 LPC, les revenus déterminants comprennent notamment le produit de la fortune mobilière et immobilière (let. b), un dixième de la fortune nette pour les bénéficiaires de rentes de vieillesse, dans la mesure où elle dépasse CHF 37’500.- (let. c), les rentes de l’AVS et de l’AI (let. d), et les ressources et parts de fortune dont un ayant droit s’est dessaisi (let. g). b. Par fortune au sens de cette disposition,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Ergänzungsleistungen zur Alters-, Hinterlassenen- und Invalidenversicherung, 2006 n° 35, JÖHL, Ergänzungsleistungen zur AHV/IV, SBVR XIV, 2007, n° 216 p. 1789). Ainsi, font notamment partie de la fortune : les gains à la loterie, la valeur de rachat d’une assurance-vie, l’épargne, les actions, les obligations, les successions, les versements en capital d’assurances, l’argent liquide, etc. (MULLER, op.cit, n° 35), les créances (JÖHL, op. cit., n° 216 p. 1789) ou encore les prêts accordés (CARIGIET / KOCH, Ergänzungsleistungen zur AHV/IV, Supplement, p. 96). En d’autres termes, ne sont à considérer comme fortune imputable au sens de l’art. 11 al. 1 let. c LPC que les actifs que l’assuré a effectivement reçus et dont il peut disposer sans restriction (ATF 110 V 17 consid. 3). L'art. 15c OPC-AVS/AI dispose que la valeur de rachat des rentes viagères avec restitution est prise en compte comme élément de fortune (al. 1). Aucun rendement hypothétique de la valeur de rachat n'est pris en compte dans les revenus déterminants (al. 2). Est incluse dans les revenus déterminants la rente périodique versée, à concurrence de 80 % (al. 3, let. a), et une éventuelle participation aux excédents, en totalité (let. b). La raison en est que, dans le cadre des rentes viagères avec restitution, le capital restant revient, en cas de décès prématuré, à la personne bénéficiaire désignée par le contrat (cf. le commentaire de l'OFAS de l'art. 15c OPC-AVS/AI, in VSI 1998 p. 275 ss.).</w:t>
      </w:r>
    </w:p>
    <w:p>
      <w:r>
        <w:t>A/281/2018 - 5/7 - L'art. 15c al. 1 OPC-AVS/AI est conforme à la loi et à la Constitution (arrêts du Tribunal fédéral des assurances P 33/03 du 27 novembre 2003, consid. 2 in VSI 2004 p. 191, et P 48/00 du 20 août 2001, consid. 4b, c et d in VSI 2001 p. 289 ss; Pierre FERRARI, Dessaisissement volontaire et prestations complémentaires à l'AVS/AI, RSAS 2002 p. 422 ss.).</w:t>
      </w:r>
    </w:p>
    <w:p>
      <w:r>
        <w:rPr>
          <w:b/>
        </w:rPr>
        <w:t>E. 5</w:t>
      </w:r>
    </w:p>
    <w:p>
      <w:r>
        <w:t>A teneur de l'art. 4 LPCC, ont droit aux prestations complémentaires cantonales les personnes dont le revenu annuel déterminant n’atteint pas le revenu minimum cantonal d’aide sociale applicable. Le montant de la prestation complémentaire correspond à la différence entre les dépenses reconnues et le revenu déterminant du requérant (art. 15 al. 1 LPCC). Selon l'art. 5 LPCC, le revenu déterminant est calculé conformément aux règles fixées dans la LPC et ses dispositions d'exécution, moyennant les adaptations suivantes : les prestations complémentaires fédérales sont ajoutées au revenu déterminant (let. a) et, en dérogation à l'art. 11 al. 1 let. c LPC, la part de la fortune nette prise en compte dans le calcul du revenu déterminant est d'un cinquième pour les bénéficiaires de rentes de vieillesse, et ce après déduction des franchises prévues par cette disposition (let. c ch. 1). Aux termes de l’art. 7 LPCC, la fortune comprend la fortune mobilière et immobilière définie par la LPC et ses dispositions d'exécution (al. 1). La fortune est évaluée selon les règles de la loi sur l'imposition des personnes physiques, du 27 septembre 2009, à l'exception notamment des règles concernant les déductions sociales sur la fortune, prévues aux art. 50, let. e, et 58 de ladite loi, qui ne sont pas applicables. Les règles d'évaluation prévues par la LPC et ses dispositions d'exécution sont réservées (al. 2).</w:t>
      </w:r>
    </w:p>
    <w:p>
      <w:r>
        <w:rPr>
          <w:b/>
        </w:rPr>
        <w:t>E. 6</w:t>
      </w:r>
    </w:p>
    <w:p>
      <w:r>
        <w:t>En l’occurrence, il n’est pas contesté que la recourante bénéficie de deux rentes viagères avec restitution dont la valeur de rachat est de respectivement CHF 73'599.10 et CHF 12'007.80. Or, selon les dispositions légales précitées, la valeur de rachat doit être prise en compte dans la fortune à raison de 10% pour les prestations complémentaires fédérales et de 20% pour les prestations complémentaires cantonales, après déduction des deniers de nécessité. En effet, selon la jurisprudence du Tribunal fédéral, il est exigé d’une personne au bénéfice de prestations complémentaires qu’elle utilise tous les éléments de fortune qui sont à sa disposition pour assurer son entretien. Or, lorsqu'un contrat de rente viagère avec restitution est conclu, les enfants sont favorisés, dans la mesure où, en cas de décès prématuré, ils recevront les prestations non encore versées. Par ailleurs, afin de tenir compte de ce que la rente viagère est également incluse dans le calcul à titre de revenu, le législateur a prévu qu'elle ne soit retenue qu’à 80% (VSI 2004 p. 191 consid. 3.2.1 ss). Ainsi, il est attendu d’un bénéficiaire de prestations complémentaires qu’il rachète sa rente viagère et renonce ainsi au montant de celle-ci, afin d’utiliser la valeur de rachat pour son entretien courant. Lorsque la fortune a été épuisée respectivement</w:t>
      </w:r>
    </w:p>
    <w:p>
      <w:r>
        <w:t>A/281/2018 - 6/7 - les taux pris en considération dans le calcul des revenus, de 10 respectivement 20% après déduction des deniers de nécessité de CHF 37’500.-, et cumulés avec les rentes, ne couvrent plus les besoins du bénéficiaire, celui-ci pourra demander une augmentation du montant des prestations complémentaires. Il appert ainsi que le calcul de l’intimé est conforme au droit en ce qui concerne la prise en compte de la valeur de rachat des rentes viagères.</w:t>
      </w:r>
    </w:p>
    <w:p>
      <w:r>
        <w:rPr>
          <w:b/>
        </w:rPr>
        <w:t>E. 7</w:t>
      </w:r>
    </w:p>
    <w:p>
      <w:r>
        <w:t>Cependant, il s'avère que l'intimé a retenu dans son calcul les rentes viagères avec restitution à 100%. En effet, il a mentionné un montant de rentes viagères de CHF 3'289.80 par an, soit l'addition des rentes annuelles de CHF 611.40, de CHF 2'214.25 et de CHF 464.15. Or, les deux dernières rentes n'auraient dû être prises en considération qu'à 80%, comme relevé ci-dessus, soit à 2'142.70 ([CHF 2214.25 + CHF 464.15] x 80%). Avec la rente viagère de CHF 611.40, le total des rentes viagères déterminant n'est ainsi que de CHF 2'754.10. Le total des revenus est par conséquent de CHF 28'100.50, si bien que l'excédent des dépenses, d'un total de CHF 32'490.-, est de CHF 4'389.50 (CHF 32'490.- – CHF 28'100.50). Ce montant correspond aux prestations complémentaires fédérales dues. Au niveau cantonal, cela ne change toutefois pas le calcul, la différence entre les dépenses reconnues de CHF 38'861.- et les revenus de CHF 37'711.85 étant identique à CHF 0.15 près à celle du précédent calcul.</w:t>
      </w:r>
    </w:p>
    <w:p>
      <w:r>
        <w:rPr>
          <w:b/>
        </w:rPr>
        <w:t>E. 8</w:t>
      </w:r>
    </w:p>
    <w:p>
      <w:r>
        <w:t>Partant, le recours sera partiellement admis et la décision querellée réformée dans le sens que la recourante a droit à des prestations complémentaires fédérales de CHF 4'389.50. Le total des prestations complémentaires fédérales et cantonales s'élève ainsi à CHF 5'538.50 par an respectivement à CHF 462.- par mois.</w:t>
      </w:r>
    </w:p>
    <w:p>
      <w:r>
        <w:rPr>
          <w:b/>
        </w:rPr>
        <w:t>E. 9</w:t>
      </w:r>
    </w:p>
    <w:p>
      <w:r>
        <w:t>La procédure est gratuite.</w:t>
      </w:r>
    </w:p>
    <w:p>
      <w:r>
        <w:t>***</w:t>
      </w:r>
    </w:p>
    <w:p>
      <w:r>
        <w:t>A/281/2018 - 7/7 -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