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ATAS/621/2014 vom 20. Mai 2014</w:t>
      </w:r>
    </w:p>
    <w:p>
      <w:r>
        <w:t>GE Cour de justice, 2014-05-20, FR</w:t>
      </w:r>
    </w:p>
    <w:p>
      <w:r>
        <w:rPr>
          <w:b/>
        </w:rPr>
        <w:t xml:space="preserve">Quelle: </w:t>
      </w:r>
      <w:r>
        <w:t>https://mcp.opencaselaw.ch/entscheid/ge_gerichte_ATAS_621_2014</w:t>
      </w:r>
    </w:p>
    <w:p>
      <w:r>
        <w:t>FR: GE_GERICHTE ATAS/621/2014 du 20 mai 2014</w:t>
      </w:r>
    </w:p>
    <w:p>
      <w:r>
        <w:t>IT: GE_GERICHTE ATAS/621/2014 del 20 maggio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la question de savoir si c’est à juste titre que l’intimé a requis de la recourante la restitution des prestations complémentaires fédérales, tant dans son principe que dans la quotité, pour la période courant du 1er août 2013 au 31 janvier 2014.</w:t>
      </w:r>
    </w:p>
    <w:p>
      <w:r>
        <w:rPr>
          <w:b/>
        </w:rPr>
        <w:t>E. 5</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w:t>
      </w:r>
    </w:p>
    <w:p>
      <w:r>
        <w:t>A/499/2014 - 5/8 - 2006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invalidité, conformément à l'art. 4 al. 1 let. c LPC. Selon l'art. 7 de l'ordonnance du 15 janvier 1971 sur les prestations complémentaires à l'AVS et à l'AI (OPC- AVS/AI; RS 831.301), la prestation complémentaire pour enfant donnant droit à une rente pour enfant de l'assurance-invalidité est calculée séparément si l'enfant ne vit pas avec ses parents.</w:t>
      </w:r>
    </w:p>
    <w:p>
      <w:r>
        <w:t>A/499/2014 - 6/8 - Les prestations complémentaires fédérales se composent de la prestation complémentaire annuelle et du remboursement des frais de maladie et d’invalidité (art. 3 al. 1 LPC).</w:t>
      </w:r>
    </w:p>
    <w:p>
      <w:r>
        <w:rPr>
          <w:b/>
        </w:rPr>
        <w:t>E. 7</w:t>
      </w:r>
    </w:p>
    <w:p>
      <w:r>
        <w:t>a. En cas de modification importante des ressources ou de la fortune du bénéficiaire, la prestation est fixée conformément à la situation nouvelle. Selon l’art. 25 al. 1 OPC-AVS/AI, la prestation complémentaire annuelle doit être augmentée, réduite ou supprimée: - lors de chaque modification de la rente de l’assurance-vieillesse et survivants ou de l’assurance-invalidité (let. b) ; b. Selon l’art. 25 al. 2 OPC-AVS/AI, la nouvelle décision doit porter effet dès la date suivante: -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w:t>
      </w:r>
    </w:p>
    <w:p>
      <w:r>
        <w:rPr>
          <w:b/>
        </w:rPr>
        <w:t>E. 8</w:t>
      </w:r>
    </w:p>
    <w:p>
      <w:r>
        <w:t>En l'espèce, c'est en raison du fait qu'elle bénéficiait d'une rente pour enfant d'invalide complémentaire à la rente de sa mère, que l'assurée a pu prétendre à des prestations complémentaires. Selon les règles propres à l'AVS et à l'AI, cette rente complémentaire est versées aussi longtemps que le parent perçoit une rente de vieillesse ou d'invalide et jusqu'à ce que l'enfant ait 18 ans, voire 25 ans s'il poursuit une formation. Il appartient donc aux organes de l'AI et de l'AVS de vérifier si l'enfant de plus de 18 ans est en formation au sens de la loi et, à défaut, de supprimer ou suspendre la rente pour enfant. La suppression de la rente complémentaire AI est un motif de révision. Le SPC a supprimé le droit aux prestations complémentaires dès le 1er août 2013, dans le délai d'un an dès la connaissance de la suppression de la rente AI en janvier 2014 et même dans le délai d'un an dès la suppression de la rente AI en août 2013. Les décisions de restitution des 10 et 13 janvier 2014 sont donc conformes au droit. Il n'échoit pas au SPC d'apprécier si le stage suivi correspond à une formation. A cet égard, un stage non rémunéré qui précède l'entrée dans une école ou un apprentissage et qui est une condition d'entrée, peut être considéré comme une formation, de sorte que le SPC ne pouvait pas se douter que tel n'était pas le cas. Il appartenait d'ailleurs à l'assurée d'informer le SPC de la suppression de sa rente AI, qu'elle ne pouvait pas ignorer puisqu'elle a fait l'objet d'une décision. Elle ne rend pas vraisemblable que le SPC aurait prétendu que son droit aux prestations complémentaires subsistait en l'absence de toute rente AI. Finalement, la restitution des prestations est à juste titre réclamée à la bénéficiaire, soit à la recourante, qui ne peut pas simplement renvoyer le SPC aux éventuels services sociaux qui la prendront en charge par la suite. Lorsque la décision de restitution sera définitive, l'assurée pourra le cas échéant solliciter la remise, si elle s'y estime fondée.</w:t>
      </w:r>
    </w:p>
    <w:p>
      <w:r>
        <w:t>A/499/2014 - 7/8 -</w:t>
      </w:r>
    </w:p>
    <w:p>
      <w:r>
        <w:rPr>
          <w:b/>
        </w:rPr>
        <w:t>E. 9</w:t>
      </w:r>
    </w:p>
    <w:p>
      <w:r>
        <w:t>Le recours est rejeté.</w:t>
      </w:r>
    </w:p>
    <w:p>
      <w:r>
        <w:t>A/499/2014 - 8/8 -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