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ATAS/620/2021 vom 15. Juni 2021</w:t>
      </w:r>
    </w:p>
    <w:p>
      <w:r>
        <w:t>GE Cour de justice, 2021-06-15, FR</w:t>
      </w:r>
    </w:p>
    <w:p>
      <w:r>
        <w:rPr>
          <w:b/>
        </w:rPr>
        <w:t xml:space="preserve">Quelle: </w:t>
      </w:r>
      <w:r>
        <w:t>https://mcp.opencaselaw.ch/entscheid/ge_gerichte_ATAS_620_2021</w:t>
      </w:r>
    </w:p>
    <w:p>
      <w:r>
        <w:t>FR: GE_GERICHTE ATAS/620/2021 du 15 juin 2021</w:t>
      </w:r>
    </w:p>
    <w:p>
      <w:r>
        <w:t>IT: GE_GERICHTE ATAS/620/2021 del 15 giugno 2021</w:t>
      </w:r>
    </w:p>
    <w:p>
      <w:pPr>
        <w:pStyle w:val="Heading2"/>
      </w:pPr>
      <w:r>
        <w:t>Erwägungen</w:t>
      </w:r>
    </w:p>
    <w:p>
      <w:r>
        <w:rPr>
          <w:b/>
        </w:rPr>
        <w:t>E. 19</w:t>
      </w:r>
    </w:p>
    <w:p>
      <w:r>
        <w:t>Ces écritures ont été transmises à l'assurée et la cause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le recours est recevable (art. 56 ss LPGA). 3. Le litige porte sur le droit de l'assurée aux prestations de l'assurance-accidents au-delà du 1er août 2019, et plus particulièrement sur le lien de causalité naturelle entre l'accident du 13 juillet 2017 et les troubles à la cheville droite et à la colonne lombaire.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A/945/2020 - 7/13 -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(arrêt du Tribunal fédéral 8C_347/2013 consid. 2.2).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w:t>
      </w:r>
    </w:p>
    <w:p>
      <w:r>
        <w:t>A/945/2020 - 8/13 - (ATF 126 V 360 consid. 5b; ATF 125 V 195 consid. 2; RAMA 2000 n° U 363 p. 46). 5.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6.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A/945/2020 - 9/13 -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9. Sans remettre en cause le principe de la libre appréciation des preuves, le Tribunal fédéral des assurances a posé des lignes directrices en ce qui concerne la manière d'apprécier certains types d'expertises ou de rapports médicaux (ATF 125 V 351 consid. 3b). 10.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11.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A/945/2020 - 10/13 - sociales, un principe selon lequel l'administration ou le juge devrait statuer, dans le doute, en faveur de l'assuré (ATF 126 V 319 consid. 5a). 13.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14.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15.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w:t>
      </w:r>
    </w:p>
    <w:p>
      <w:r>
        <w:t>A/945/2020 - 11/13 - (ATF 117 V 283 consid. 4a; RAMA 1985 p. 240 consid. 4; arrêt du Tribunal fédéral des assurances I 751/03 du 19 mars 2004 consid. 3.3). 16.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17.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 18. En l’espèce, dans un premier temps, l’assureur a mis un terme à ses prestations au 31 janvier 2018 et en a informé l’assurée le 5 février 2018. Il s’est fondé sur les conclusions du Dr E______ du 30 janvier 2018, selon lesquelles seule l’entorse- contusion de la cheville droite était en lien de causalité certain avec l’accident du 13 juillet 2017 et les suites de l’entorse terminées. L’assureur a finalement admis</w:t>
      </w:r>
    </w:p>
    <w:p>
      <w:r>
        <w:t>A/945/2020 - 12/13 - que l’intervention subie le 27 août 2018 en raison d’une instabilité post-traumatique externe de la cheville droite et d’un conflit antéro-externe de cette cheville pouvait être prise en charge, de même que l’incapacité de travail et les frais de traitement du 1er février au 26 août 2018. Sur la base du rapport du Dr F______ du 6 août 2019, il a considéré que le statu quo ante devait être fixé au 1er août 2019. Il a dès lors, par décision du 3 septembre 2019, annulant et remplaçant celle du 5 février 2018, prolongé ses prestations jusqu’au 31 juillet 2019. Il s’agit dès lors de déterminer si les troubles dont souffre l’assurée à la cheville droite et au niveau lombaire sont encore imputables à l’accident du 13 juillet 2017 - ou ne le sont plus - au-delà de cette date. Le Dr F______ s’est fondé sur l’IRM du pied / cheville droit du 3 juillet 2019 et en a conclu que l’état de santé de l’assurée au 1er août 2019 était similaire à celui qui existait immédiatement avant l’accident. Il a par ailleurs considéré qu’il n’y avait pas de lien de causalité entre les plaintes de l'assurée au niveau lombaire et l'accident du 13 juillet 2017. Le rapport de la Dresse H______ du 1er juillet 2020 produit par l'assurée n’établit pas l’existence d’un lien de causalité, étant relevé que les plaintes de l’assurée ne sauraient valoir diagnostic médical et preuve d’un lien de causalité. Au contraire, elle met en évidence des pathologies sans relation avec l’accident. En conclusion, les prises de position des Drs E______ et F______ qui sont motivées, tiennent compte des examens médicaux pratiqués, discutent l’origine des lésions et établissent leurs conséquences sur la santé de l’assurée, sont convaincantes et pas remises en cause par des avis médicaux clairs et probants. C’est donc à juste titre que la SUVA s’est fondée sur ces avis pour retenir la date du 1er août 2019 à titre de statu quo sine et ante, que ce soit pour les troubles au niveau de la cheville ou au niveau lombaire, et a nié le droit de l’assurée à des prestations d’assurance au-delà de cette date. Compte tenu de ces avis, et en l’absence d’avis contraire motivé et fondé, il n’existe pas de doute quant à leur valeur probante. Il ne se justifie pas dans ces conditions de recourir à une expertise. L'assurée fait valoir que sans l'accident, elle n'aurait pas eu de problèmes ni à la cheville droite ni au bassin. La jurisprudence citée supra ne permet toutefois pas de retenir que le raisonnement basé sur le principe post hoc ergo propter hoc soit suffisant pour établir le lien de causalité entre les douleurs apparues postérieurement et l’accident. Il n’apparaît pas, au degré de vraisemblance requis par la jurisprudence, que ces douleurs soient en lien de causalité avec l’accident. Aussi le recours est-il rejeté.</w:t>
      </w:r>
    </w:p>
    <w:p>
      <w:r>
        <w:t>A/945/2020 - 13/13 -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