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ATAS/61/2025 vom 3. Februar 2025</w:t>
      </w:r>
    </w:p>
    <w:p>
      <w:r>
        <w:t>GE Cour de justice, 2025-02-03, FR</w:t>
      </w:r>
    </w:p>
    <w:p>
      <w:r>
        <w:rPr>
          <w:b/>
        </w:rPr>
        <w:t xml:space="preserve">Quelle: </w:t>
      </w:r>
      <w:r>
        <w:t>https://mcp.opencaselaw.ch/entscheid/ge_gerichte_ATAS_61_2025</w:t>
      </w:r>
    </w:p>
    <w:p>
      <w:r>
        <w:t>FR: GE_GERICHTE ATAS/61/2025 du 3 février 2025</w:t>
      </w:r>
    </w:p>
    <w:p>
      <w:r>
        <w:t>IT: GE_GERICHTE ATAS/61/2025 del 3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délai de recours est de trente jours (art. 56 LPGA ; art. 62 al. 1 de la de loi sur la procédure administrative du 12 septembre 1985 - LPA - E 5 10). Interjeté en temps utile, le recours est recevable (art. 60 al. 1 LPGA).</w:t>
      </w:r>
    </w:p>
    <w:p>
      <w:r>
        <w:rPr>
          <w:b/>
        </w:rPr>
        <w:t>E. 2</w:t>
      </w:r>
    </w:p>
    <w:p>
      <w:r>
        <w:t>Le litige porte sur la question de savoir si l'intimé était fondé à mettre un terme au paiement des indemnités journalières pour la période postérieure au 31 juillet 2023, singulièrement sur l'existence d'un lien de causalité entre les troubles invoqués et l'accident du 1er mars 2021.</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w:t>
      </w:r>
    </w:p>
    <w:p>
      <w:r>
        <w:t>A/849/2024 - 16/35 -</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3.2.1</w:t>
      </w:r>
    </w:p>
    <w:p>
      <w:r>
        <w:t>L'exigence afférente au rapport de causalité naturelle est remplie lorsqu'il y a lieu d'admettre que, sans l'événement dommageable de caractère accidentel, le dommage ne se serait pas produit du tout, ou qu'il ne serait pas survenu de la même manière (ATF 148 V 138 consid. 5.1.1 et les références).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 RAMA 1999 n° U 341 p. 408 consid. 3b).</w:t>
      </w:r>
    </w:p>
    <w:p>
      <w:r>
        <w:rPr>
          <w:b/>
        </w:rPr>
        <w:t>E. 3.2.2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w:t>
      </w:r>
    </w:p>
    <w:p>
      <w:r>
        <w:t>A/849/2024 - 17/35 -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Cela signifie également que l'assureur-accidents doit être au clair s'agissant des troubles somatiques. Ces principes valent en particulier pour l'examen de la causalité adéquate des troubles psychiques avec l'accident, notamment lorsque le critère de la durée et du degré de l'incapacité de travail pour les troubles physiques devait être examiné, ce qui suppose que l'assureur-accidents se fonde sur une documentation médicale probante et complète pour les atteintes accidentelles somatiques (arrêt du Tribunal fédéral 8C_235/2020 du 15 février 2021 consid. 2.3 et les références). La clôture séparée d’un cas d’assurance-accidents pour les troubles psychiques, d’une part, et les troubles somatiques, d’autre part, n’entre pas en ligne de compte (arrêt du Tribunal fédéral 8C_235/2020 du 15 février 2021 consid. 2.3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w:t>
      </w:r>
    </w:p>
    <w:p>
      <w:r>
        <w:t>A/849/2024 - 18/35 -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w:t>
      </w:r>
    </w:p>
    <w:p>
      <w:r>
        <w:t>A/849/2024 - 19/35 -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4</w:t>
      </w:r>
    </w:p>
    <w:p>
      <w:r>
        <w:t>L'assureur-accidents n'est pas lié par l'évaluation de l'invalidité de l'assurance-invalidité (ATF 131 V 362 consid. 2.3 ; arrêt du Tribunal fédéral 8C_493/2022 du 8 mars 2023 consid. 4.5), tout comme l'évaluation de l'invalidité par l'assurance-accidents n'a pas de force contraignante pour l'assurance-invalidité (ATF 133 V 549 consid. 6 ; arrêt du Tribunal fédéral 8C_90/2024 du 5 août 2024</w:t>
      </w:r>
    </w:p>
    <w:p>
      <w:r>
        <w:t>A/849/2024 - 20/35 - consid. 4.4). Cela se justifie notamment lorsque l’assurance-invalidité alloue des prestations pour des troubles dont l’assureur-accidents ne répond pas.</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t>A/849/2024 - 21/35 -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w:t>
      </w:r>
    </w:p>
    <w:p>
      <w:r>
        <w:t>A/849/2024 - 22/35 -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130 III 321 consid. 3.2 et 3.3 et les références ; 126 V 353 consid. 5b et les références). Aussi n’existe-t-il pas, en droit des assurances sociales, un principe selon lequel l’administration ou le juge devrait statuer, dans le doute, en faveur de l’assuré (ATF 135 V 39 consid. 6. 1 et la référence).</w:t>
      </w:r>
    </w:p>
    <w:p>
      <w:r>
        <w:rPr>
          <w:b/>
        </w:rPr>
        <w:t>E. 5.4</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 consid. 3.5 ; arrêt du Tribunal fédéral 9C_646/2010 du 23 février 2011 consid. 4).</w:t>
      </w:r>
    </w:p>
    <w:p>
      <w:r>
        <w:rPr>
          <w:b/>
        </w:rPr>
        <w:t>E. 6</w:t>
      </w:r>
    </w:p>
    <w:p>
      <w:r>
        <w:t>En l'espèce, se fondant sur l'expertise pluridisciplinaire du 16 juin 2023 et sur le complément d'expertise du 14 août 2023, l'intimé a mis un terme au versement des indemnités journalières et à la prise en charge du traitement médical au-delà du 31 juillet 2023 et a refusé la prise en charge du traitement des troubles psychiques de la recourante. L'intimé a en revanche maintenu la prise en charge du traitement des troubles organiques consécutifs aux lésions du genou droit jusqu'à la stabilisation du cas.</w:t>
      </w:r>
    </w:p>
    <w:p>
      <w:r>
        <w:t>A/849/2024 - 23/35 - Pour sa part, la recourante sollicite la poursuite du versement des indemnités journalières et la prise en charge de ses atteintes à la santé en raison d'une incapacité de travail persistante.</w:t>
      </w:r>
    </w:p>
    <w:p>
      <w:r>
        <w:rPr>
          <w:b/>
        </w:rPr>
        <w:t>E. 6.1</w:t>
      </w:r>
    </w:p>
    <w:p>
      <w:r>
        <w:t>En premier lieu, il y a lieu d’examiner la valeur probante des documents médicaux au dossier, en particulier le rapport d’expertise du 16 juin 2023 et son complément sur lesquels s'est fondé l'intimé pour rendre la décision litigieuse. La chambre de céans constate que le rapport d'expertise remplit, sur le plan formel, les réquisits jurisprudentiels en matière de valeur probante. Il contient en effet le résumé du dossier, une anamnèse, les indications subjectives de la recourante, des observations cliniques, ainsi qu'une discussion générale et consensuelle du cas. Chacun des experts a en outre énoncé les diagnostics retenus et répondu à toutes les questions posées. Au terme du colloque de synthèse, ces derniers ont ainsi retenu les diagnostics de status après AVP ayant entraîné un TCC mineur avec plaie du cuir chevelu et syndrome post-commotionnel, une possible contusion labyrinthique, une contusion du coude droit sans atteinte neurologique associée, un descellement d'une couronne de Richemont 16, une persistance de troubles neurologiques et visuels atypiques sans substrat somatique clairement objectivable, une rupture du ligament croisé antérieur et du ligament latéral externe au genou droit, un status après réparation chirurgicale de ces ligaments, une entorse de grade II de la cheville gauche, une entorse de la cheville droite quatre semaines avant l'expertise, ainsi qu'un trouble dissociatif à symptômes neurologiques avec troubles de la vision (code 6B60.0 selon la CIM-11), avec d'autres troubles sensoriels (code 6B60.3 CIM-11), avec parésie ou faiblesse (code 6B60.6 CIM- 11) et avec symptômes cognitifs (code 6B60.9 CIM-11). En revanche, sur le plan neuropsychologique, aucun trouble spécifique n'était retenu en lien avec l'accident, étant relevé que seule la capacité de mobilisation des compétences cognitives pouvait être momentanément entravée en raison de modifications du comportement qui, pour être spectaculaires, n'étaient pas pour autant attribuables à un trouble neuropsychologique strict, à savoir d'origine lésionnelle cérébrale (cf. rapport d'expertise, p. 43). Le rapport d'expertise retient qu'une incapacité de travail subsiste en raison des douleurs au genou, des difficultés à déambuler, à monter et descendre les escaliers, de sorte qu'une reprise d'activité progressive était possible dès le mois de mai 2023 dans une activité principalement administrative et sédentaire dans un premier temps. Les experts ont en outre retenu que les troubles dissociatifs étaient à l'origine des limitations fonctionnelles suivantes : des bizarreries du comportement, un manque d'énergie, une hypersensibilité au stress, des difficultés dans la gestion des émotions (irritabilité en cas de fatigue), une diminution de la capacité d'adaptation au changement et une limitation des capacités cognitives d'étiologie psychologique (cf. rapport d'expertise, p. 46).</w:t>
      </w:r>
    </w:p>
    <w:p>
      <w:r>
        <w:t>A/849/2024 - 24/35 - Au terme de leur consensus pluridisciplinaire, ces spécialistes ont considéré que les diagnostics susmentionnés entraînaient une incapacité de travail complète dans l'ancienne activité d'adjointe administrative depuis le jour de l'accident, soit le 1er mars 2021, mais qui pourrait être récupérée progressivement « d'ici probablement un an ». Dans une activité adaptée aux limitations fonctionnelles dues au trouble psychique, à savoir, une activité peu exigeante avec le moins de stress possible, peu de responsabilités, demandant peu d'adaptation et peu de rapidité, sans tâches complexes et dans un environnement calme, la capacité de travail de l'assurée était de 50% « dès le jour de l'expertise » (cf. rapport d'expertise, p. 46). Sur question complémentaire de l'intimé, les experts neurologue, orthopédiste et psychiatre ont confirmé que, sur le plan orthopédique, la recourante pouvait reprendre son activité habituelle (adjointe administrative) à 50% dès le 6e mois post-opératoire (soit, dès le 1er mai 2023) et à 100% dès le 7e mois post-opératoire (soit, le 1er juin 2023), étant rappelé que l'opération du genou droit avait eu lieu le 31 octobre 2022 (cf. complément d'expertise du 14 août 2023, p. 2).</w:t>
      </w:r>
    </w:p>
    <w:p>
      <w:r>
        <w:rPr>
          <w:b/>
        </w:rPr>
        <w:t>E. 6.1.1</w:t>
      </w:r>
    </w:p>
    <w:p>
      <w:r>
        <w:t>S'agissant du volet neurologique, l'expert X______ a relevé que l'examen effectué était très atypique dans son ensemble, avec des troubles sensitivomoteurs sans substrat somatique certain au niveau hémicorporel droit, comportant des incohérences intratest. Il a notamment mentionné que l'examen des membres supérieurs révélait des troubles assez atypiques avec une épreuve des bras tendus caractérisée par une chute freinée et une déviation vers la droite des deux extrémités supérieures, ainsi qu'un ralentissement important des mouvements rapides en testing formel. En outre, les épreuves de coordination étaient effectuées de façon dysmétrique atypique au niveau du membre supérieur droit et normalement pratiquée à gauche, l'épitrochlée et l'épicondyle droits paraissaient fortement sensibles alors que l'examen du nerf ulnaire au passage du coude et du poignet était sans particularité. Par ailleurs, la recherche du signe de Tinel sur le nerf médian droit au niveau du canal carpien semblait positive, mais la manœuvre de Phalen était négative bilatéralement. Selon l'expert, il n'y avait pas d'élément clairement indicateur d'une atteinte radiculaire ou tronculaire au niveau du membre supérieur droit au vu des résultats des ENMG pratiqués préalablement et du résultat des IRM. Concernant l'examen des membres inférieurs, l'expert a noté d'autres incohérences, à savoir, le testing de la force musculaire était caractérisé par des phénomènes de lâchage étagés au niveau du membre inférieur droit, mais totalement préservé à gauche. En outre, à l'examen de la sensibilité, la recourante signalait une possible hypoesthésie tactile et douloureuse du pied droit dans son ensemble, alors que la sensibilité posturale et vibratoire était intacte. Il existait une possible irritation du nerf fibulaire au niveau du péroné, mais cette irritation n'expliquait pas clairement le tableau de sciatalgies formulées par la recourante, au vu, notamment, d'une IRM et d'un ENMG normaux (cf. rapport d'expertise, p. 38). L'examen neurologique n'avait pas non plus révélé de limitation significative de la mobilité du rachis cervico-dorso-lombaire. L'expert neurologue</w:t>
      </w:r>
    </w:p>
    <w:p>
      <w:r>
        <w:t>A/849/2024 - 25/35 - a également retenu des troubles de l'oculomotricité qu'il a qualifiés de « tout à fait étonnants », à savoir une acuité visuelle et les champs visuels préservés, alors qu'il était observé une importante altération atypique de l'oculomotricité, avec une dyssynergie des globes, accompagnée d'une diplopie constante. En conclusion, l'expert a affirmé que l'accident avait occasionné un traumatisme cranio-cérébral, avec une commotion simple et une plaie du cuir chevelu. L'accident avait vraisemblablement été suivi d'un syndrome post-commotionnel expliquant les maux de tête, les sensations vertigineuses et les troubles neuropsychologiques. Toutefois, les examens IRM du cerveau étaient normaux (cf. IRM cérébrale du</w:t>
      </w:r>
    </w:p>
    <w:p>
      <w:r>
        <w:rPr>
          <w:b/>
        </w:rPr>
        <w:t>E. 6.1.2</w:t>
      </w:r>
    </w:p>
    <w:p>
      <w:r>
        <w:t>Concernant l'aspect orthopédique, l'expert Y______ a indiqué que, s'agissant du coude droit, l'évolution était favorable, même s'il persistait des douleurs occasionnelles sans déficit de la fonction en flexion extension et prosupination qui étaient complètes et symétriques. Concernant la cheville gauche, l'évolution était aussi favorable, les amplitudes articulaires tibio-tarsiennes et sous-astragaliennes complètes, il n'y avait pas de tuméfaction ni de laxité ligamentaire résiduelle dans le plan antéropostérieur et en varus. L'expert orthopédique considérait donc que, sur le plan médical, deux ans après l'événement et en l'absence d'atteinte</w:t>
      </w:r>
    </w:p>
    <w:p>
      <w:r>
        <w:t>A/849/2024 - 26/35 - structurelle démontrée, les atteintes au coude droit et à la cheville gauche étaient stabilisées. En revanche, le genou droit présentait un status quatre mois et demi après la réparation chirurgicale des ligaments croisés antérieur et latéral externe. Il a relevé, entre autres, des douleurs à la mobilisation dans le compartiment fémoro- patellaire et le creux polité, la marche à l'aide d'une canne en raison d'une appréhension concernant le genou et la cheville droite, ainsi qu'une amyotrophie de l'ordre de 2 cm au niveau de la cuisse et de 1,5 cm au niveau du mollet, ainsi qu'une flexion extension établie à 130-0-0°, de sorte que la situation n'était pas encore stabilisée. S'agissant de l'entorse à la cheville droite, dont la recourante avait été victime postérieurement à l'opération du genou droit, celle-ci était traitée conservativement avec la rééducation et une attelle de protection, le bilan radiologique ne montrant pas de fracture. Si le Dr S______ a certes relevé, dans son rapport du 17 novembre 2023, que la rééducation du genou droit se montrait très favorable, avec une bonne mobilité et une bonne stabilité jusqu'à ce jour, il a également indiqué que la recourante avait été victime d'une entorse de la cheville droite entre quatre et cinq mois après l'opération du genou droit et qu'elle se plaignait de douleurs au niveau postéro- latéral de son genou, avec des dysesthésies et des douleurs tout le long du mollet. En conclusion, ce spécialiste a préconisé de continuer un traitement physiothérapeutique surtout centré sur la cheville dans ce contexte. La teneur de ce rapport n'apparaît ainsi aucunement en contradiction avec l'expertise du Dr Y______ qui retient aussi la nécessité de poursuivre le traitement de rééducation du genou droit. La conclusion du Dr S______ selon laquelle le traitement de rééducation doit être centré sur la cheville droite n'est pas non plus de nature à remettre en cause l'analyse de l'expert orthopédique dès lors que l'entorse à la cheville droite est postérieure de près de deux ans à l'accident du 1er mars 2021, de sorte que le lien de causalité naturelle doit être exclu au degré de la vraisemblance prépondérante. Par ailleurs, s'agissant de la durée du traitement de rééducation du genou droit, même si l'expert a retenu une durée de 12 à 18 mois depuis la date de l'intervention chirurgicale au genou droit (le 31 octobre 2022), alors qu'une période de douze mois s'était déjà écoulée lorsque le Dr S______ a préconisé la poursuite de la rééducation (cf. rapport du Dr S______ du 17 novembre 2023), l'intimé a accepté de poursuivre la prise en charge des troubles organiques consécutifs aux lésions du genou droit jusqu'à la stabilisation du cas (cf. décision du 22 août 2023, p. 2 et décision litigieuse, p. 9), de sorte que cette divergence temporelle n'est pas déterminante. Au vu des éléments qui précèdent, l'expertise orthopédique doit se voir reconnaître une pleine valeur probante.</w:t>
      </w:r>
    </w:p>
    <w:p>
      <w:r>
        <w:rPr>
          <w:b/>
        </w:rPr>
        <w:t>E. 6.1.3</w:t>
      </w:r>
    </w:p>
    <w:p>
      <w:r>
        <w:t>S'agissant du volet neuropsychologique, M. AA______ a indiqué que l'examen n'avait mis en évidence qu'un ralentissement peu spécifique et variable en intensité, s'accentuant lorsque les comportements de la recourante se dégradaient en milieu de séance (lorsque, à la suite d'une période d'absence, elle</w:t>
      </w:r>
    </w:p>
    <w:p>
      <w:r>
        <w:t>A/849/2024 - 27/35 - se désorganisait, bâclait ses tâches graphiques, se comportait sur un mode enfantin, régressait et manifestait des quasi-attitudes d'écoute) et redevenaient à peu près normaux par la suite, le ralentissement s'atténuant notablement et les modes de réponse redevenant adéquats. L'examen ne permettait pas de mettre en évidence un trouble cognitif et il ne pouvait être retenu un quelconque diagnostic neuropsychologique. Les comportements de la recourante susmentionnés n'étaient pas typiques d'un trouble neuropsychologique et étaient constatés alors qu'aucune lésion cérébrale n'avait été mise en évidence suite à l'accident. Sans nier que la capacité de mobilisation des compétences cognitives était fortement entravée par les manifestations comportementales observées durant l'examen, l'expert neuropsychologue ne pouvait considérer ces troubles comme des troubles neuropsychologiques au sens strict. Le spécialiste a en revanche relevé que ces troubles étaient compatibles avec le diagnostic de trouble dissociatif retenu par l'expert psychiatre. Dans son rapport du 12 septembre 2023, la neuropsychologue traitante de la recourante, Mme AB______, a indiqué que la fréquence du suivi neuropsychologique avait diminué après l'hospitalisation (suivi hebdomadaire durant l'hospitalisation, puis en ambulatoire toutes les deux semaines, une fois par mois) et que ce suivi était axé sur la gestion de la fatigue post TCC, le traitement du stress post-traumatique et la gestion émotionnelle au quotidien. Cette spécialiste a en outre expliqué que la recourante parvenait à mieux comprendre et gérer les situations du quotidien, même s'il persistait une fatigabilité accrue et des difficultés émotionnelles en lien avec l'accident. Force est ainsi de constater que l'appréciation médicale du cas d'espèce par Mme AB______ ne permet pas de remettre en cause les conclusions de l'expertise de M. AA______ que la chambre de céans considère comme étant probantes.</w:t>
      </w:r>
    </w:p>
    <w:p>
      <w:r>
        <w:rPr>
          <w:b/>
        </w:rPr>
        <w:t>E. 6.1.4</w:t>
      </w:r>
    </w:p>
    <w:p>
      <w:r>
        <w:t>Sur le plan psychiatrique, l'expert psychiatre a retenu le diagnostic de trouble dissociatif à symptômes neurologiques avec troubles de la vision (code 6B60.0 CIM-11), avec d'autres troubles sensoriels (code 6B60.3 CIM-11), avec parésie ou faiblesse (code 6B60.6 CIM-11) et avec symptômes cognitifs (code 6B60.9 CIM-11). Il considère l'état de santé comme non stabilisé sur le plan psychiatrique et préconise la poursuite des séances de thérapie et du traitement psychothérapeutique pour éviter une détérioration de son état et favorise une reprise progressive du travail en l'espace d'une année. Le pronostic était bon au vu de l'amélioration de l'état psychique déjà constatée suite à la mise en place du suivi et de la prescription de Venlafaxine (cf. rapport d'expertise, p. 48). En conclusion, l'expert n'a retenu aucun trait de personnalité pathologique. La recourante n'avait aucune habitude toxique et l'anamnèse ne permettait pas de mettre en évidence une possible fragilité antérieure telle que mentionnée dans certains rapports neurologiques. L'intéressée n'était pas repliée socialement. L'examen psychiatrique était dans les limites de la norme : il n'avait été constaté aucun signe des lignées dépressives, anxieuse ou psychotique (pas de barrage ou</w:t>
      </w:r>
    </w:p>
    <w:p>
      <w:r>
        <w:t>A/849/2024 - 28/35 - d'attitude d'écoute, d'idée délirante, de comportement incohérent, de trouble du raisonnement ou du jugement). Aucun signe patent de troubles cognitifs n'était observé, la recourante n'étant aucunement ralentie, ni somnolente durant l'entretien d'expertise. Aucun signe de fatigue patent n'avait par ailleurs été observé. S'agissant du traitement, la prise en charge paraissait adéquate et bien investie par la recourante, son adhérence à la Venlafaxine étant bonne et la posologie pouvant être augmentée au besoin. Le spécialiste a précisé que la psychothérapie devrait se focaliser sur l'aspect fonctionnel de la symptomatologie neurologique et neuropsychologique fonctionnelle. Par ailleurs, à la lecture du volet psychiatrique du rapport, il est constaté que l'expert psychiatre a écarté de façon claire et dûment motivée le diagnostic de stress post-traumatique retenu par les Drs Q______ et K______ (cf. rapports du Dr Q______ des 9 août et 30 novembre 2022 et rapport de la Dre K______ du 9 mars 2022), étant au demeurant relevé que ces derniers ne sont pas psychiatres, mais médecins spécialistes en neurorééducation, de sorte qu'ils ne sont, en tout état de cause, pas habilités à poser un tel diagnostic. L'expert a ainsi expliqué que la recourante ne s'était plainte d'aucun symptôme évident d'état post-traumatique tel qu'une reviviscence de l'événement traumatique, un évitement ou une hypervigilance. En particulier, elle n'avait fait état d'aucun cauchemar lié à l'accident, elle ne souffrait pas de souvenir intrusif de l'accident, étant même retournée sur les lieux de celui-ci sans se sentir angoissée. Elle avait tout de même été plus vigilante lorsqu'elle se promenait dans la rue jusqu'à ce que le traitement de Venlafaxine lui soit prescrit, au mois d'août 2021 (cf. rapport d'expertise, p. 19). L'expert Z______ a en outre relevé que la description symptomatique faite par les neurologues traitants de la recourante n'était pas spécifique au trouble de stress post-traumatique (cf. rapport d'expertise, p. 36). Au surplus, la chambre de céans relève que les conclusions de l'expert psychiatre ne sauraient être valablement remises en cause par le diagnostic de tensions et détresse émotionnelle secondaires aux séquelles de l'accident sur le plan somatique et de la qualité de vie (sic) retenu par la psychologue traitante, dès lors que ce diagnostic n'est pas motivé (cf. rapport de Mme U______ du 22 février 2023). Enfin, il est constaté que Mme AB______ (psychologue traitante) a fait état de signes de stress post-traumatique (hypervigilance, évitement et détresse émotionnelle en lien avec l'accident et ses conséquences) dans son rapport du 12 septembre 2023, sans toutefois retenir le diagnostic de stress post-traumatique. Au vu des éléments qui précèdent, la chambre de céans considère que les avis médicaux des médecins traitants ne sont pas de nature à remettre en cause l'expertise psychiatrique du Dr Z______ qui doit donc se voir reconnaître une pleine force probante.</w:t>
      </w:r>
    </w:p>
    <w:p>
      <w:r>
        <w:rPr>
          <w:b/>
        </w:rPr>
        <w:t>E. 6.1.5</w:t>
      </w:r>
    </w:p>
    <w:p>
      <w:r>
        <w:t>S'il convient certes d'accorder force probante aux différents volets de l'expertise, il apparaît toutefois que la motivation consensuelle des experts quant à la capacité de travail de la recourante est confuse. En effet, ces spécialistes ont</w:t>
      </w:r>
    </w:p>
    <w:p>
      <w:r>
        <w:t>A/849/2024 - 29/35 - considéré que la capacité de travail de la recourante dans l'activité exercée lors de la survenance de l'accident, soit l'activité d'adjointe administrative auprès de l'Université de Genève, était nulle, mais qu'elle pourrait être récupérée progressivement « d'ici probablement un an ». La recourante présentait une capacité de travail résiduelle d'environ 50% « dès le jour de l'expertise » dans une activité adaptée à son trouble psychiatrique, à savoir une activité peu exigeante (avec le moins de stress possible, peu de responsabilités, demandant peu d'adaptation et peu de rapidité et sans tâches complexes), dans un environnement calme (cf. rapport d'expertise, p. 46). À titre d'activité adaptée, compte tenu de son handicap et en faisant abstraction de son âge, les experts ont indiqué qu'il pouvait être raisonnablement exigé qu'elle travaille dans une activité administrative principalement sédentaire, en position assise, sans long déplacement, à partir du sixième mois postopératoire, sans diminution de rendement (cf. rapport d'expertise, p. 47). Selon le rapport d'expertise complémentaire du 14 août 2023, l'intimée a demandé des précisions aux experts concernant la capacité de travail de la recourante, à savoir : « En page 39 [de l'expertise], il est noté ceci : "en ce qui concerne la capacité de travail, l'examen clinique rassurant pour le genou droit permet de conclure que l'on peut raisonnablement s'attendre à une reprise progressive d'activité dès le sixième mois postopératoire dans une activité sollicitant peu le genou droit. L'activité habituelle de l'expertisée de type administratif plutôt sédentaire est une activité adaptée [NDR : en gras dans le texte] et dans ce cas, on peut s'attendre à une reprise à 50% dès le sixième mois postopératoire puis en fonction de l'évolution à 100% dès le septième mois postopératoire". À la question 8.2 page 46 vous mentionnez ceci : "Douleurs au genou, difficultés à déambuler, monter descendre les escaliers. Une reprise d'activité progressive était possible dès mai 2023 (après le sixième mois postopératoire) dans une activité principalement administrative et sédentaire dans un premier temps" ». Au vu de ces éléments, l'intimé a demandé aux experts de confirmer que la recourante pouvait reprendre une activité professionnelle dans son activité habituelle à 50% dès le sixième mois post-opératoire et à 100% dès le septième mois post-opératoire. Les experts ont répondu en les termes suivants : « sur le plan orthopédique, oui ». L'intimé s'est ensuite fondé sur cette réponse pour rendre la décision litigieuse, indiquant qu'au vu des conclusions de l'expertise, la recourante était en mesure de reprendre son activité habituelle d'adjointe administrative à 50% dès le 1er mai 2023 et à 100% dès le 1er juin 2023 (cf. décision litigieuse, p. 8). Au vu de la réponse des experts susvisée, force est de constater que ces derniers ont estimé qu'une capacité de travail était donnée dans l'activité habituelle à 50% dès le sixième mois post-opératoire et à 100% dès le septième mois</w:t>
      </w:r>
    </w:p>
    <w:p>
      <w:r>
        <w:t>A/849/2024 - 30/35 - post-opératoire sur le plan orthopédique uniquement, et n'ont en réalité pas répondu de manière consensuelle, soit en prenant en considération l'ensemble des atteintes, y compris psychiatriques, de la recourante. Par ailleurs, selon les pièces du dossier, la description de l'activité habituelle d'adjointe administrative, considérée comme adaptée par les experts, ne correspond pas aux limitations retenues dans le rapport d'expertise, à savoir une activité peu exigeante, avec le moins de stress possible, peu de responsabilités, demandant peu d'adaptation et peu de rapidité, sans tâches complexes, dans un environnement calme (cf. rapport d'expertise, p. 46). En effet, selon un rapport de visite du 19 mai 2021, établi par l'intimé, l'activité habituelle d'adjointe administrative consistait à gérer les finances de l'Université, ainsi que les projets financiers avec l'Europe et les États-Unis. Il lui était en outre demandé beaucoup de concentration, « car il y avait les chiffres et elle [devait] écrire en anglais et parler au téléphone en anglais ». Par ailleurs, dans un rapport du 26 octobre 2022, le médecin du travail a relevé que, globalement, le pronostic de retour au travail était favorable, mais pas à son « poste actuel », les limitations fonctionnelles identifiées étant l'impossibilité de téléphoner, de participer à des réunions, de faire des supervisions directes de collègues, de partager un bureau et d'être en contact fréquent avec d'autres personnes. Un retour au travail dans un poste adapté (reconversion, reclassement) était envisageable, par exemple dans le domaine de la documentation. Enfin, lors de l'expertise, la recourante a indiqué que son ancienne activité nécessitait beaucoup de concentration et des déplacements réguliers au sein de l'université pour rencontrer les chercheurs responsables des projets (cf. rapport d'expertise, p. 22). Il apparaît ainsi que l'activité habituelle d'adjointe administrative ne correspond pas à une activité adaptée aux limitations fonctionnelles retenues de manière consensuelle par les experts. Il semble en outre douteux que la profession auparavant exercée par la recourante, qui nécessitait des déplacements réguliers au sein de l'Université de Genève, soit adaptée à son atteinte au genou droit et, en particulier, à la marche à l'aide d'une canne constatée par les experts lors des examens d'expertise (cf. volets neurologique et orthopédique du rapport d'expertise, pages 23 et 24).</w:t>
      </w:r>
    </w:p>
    <w:p>
      <w:r>
        <w:rPr>
          <w:b/>
        </w:rPr>
        <w:t>E. 6.1.6</w:t>
      </w:r>
    </w:p>
    <w:p>
      <w:r>
        <w:t>Au vu de ce qui précède, il sera retenu que les conclusions de l'expertise diligentée par l'intimé ne permettent pas d'établir clairement la capacité de travail de la recourante, en particulier de savoir si celle-ci est véritablement donnée dans l'activité habituelle d'adjointe administrative. Or, pour se voir conférer pleine valeur probante, l'appréciation de la situation médicale doit être claire et les conclusions des experts dûment motivées (ATF 125 V 352 consid. 3a). Par conséquent, l'intimé ne pouvait pas valablement se fonder sur l'expertise pour rendre la décision litigieuse.</w:t>
      </w:r>
    </w:p>
    <w:p>
      <w:r>
        <w:rPr>
          <w:b/>
        </w:rPr>
        <w:t>E. 6.2</w:t>
      </w:r>
    </w:p>
    <w:p>
      <w:r>
        <w:t>Dans son recours, la recourante a conclu à ce qu'une expertise judiciaire pluridisciplinaire comprenant également une évaluation ophtalmologique soit ordonnée.</w:t>
      </w:r>
    </w:p>
    <w:p>
      <w:r>
        <w:t>A/849/2024 - 31/35 - La chambre de céans ayant retenu ci-dessus que les différents volets de l'expertise diligentée par l'intimé doivent se voir reconnaître valeur probante, une expertise judiciaire ne se justifie pas dans chacune des disciplines médicales concernées. Il s'agit cependant d'examiner si une expertise complémentaire en ophtalmologie, au sens de l'art. 44 LPGA, est requise au vu des éléments médicaux figurant au dossier.</w:t>
      </w:r>
    </w:p>
    <w:p>
      <w:r>
        <w:rPr>
          <w:b/>
        </w:rPr>
        <w:t>E. 6.2.1</w:t>
      </w:r>
    </w:p>
    <w:p>
      <w:r>
        <w:t>Il ressort du volet neurologique de l'expertise que l'acuité visuelle et les champs visuels de la recourante étaient préservés, mais qu'une importante altération atypique de l'oculomotricité était observée, avec une dyssynergie des globes accompagnée d'une diplopie constante (cf. rapport d'expertise, p. 37), qualifiée par l'expert neurologue de « troubles de l'oculomotricité tout à fait étonnants » (cf. rapport d'expertise, p. 38). Par ailleurs, au terme de l'expertise, les experts ont indiqué avoir retenu, de manière consensuelle, que l'incapacité de travail de la recourante subsistait en raison de son atteinte au genou droit et des troubles dissociatifs constatés par l'expert psychiatre (cf. rapport d'expertise, p. 46), retenant en particulier le diagnostic de trouble dissociatif à symptômes neurologiques, avec troubles de la vision (code 6B60.0 CIM-11 ; cf. rapport d'expertise, p. 43). Selon la description contenue dans la CIM-11 (disponible sur le site de l'Organisation mondiale de la santé [OMS] sous le lien suivant : https://icd.who.int/browse/2024-01/mms/fr#197468567, consulté le 10 janvier 2025), ce trouble se caractérise par des symptômes visuels tels qu’une cécité, une vision étroite, une diplopie et des déformations ou hallucinations visuelles, qui ne correspondent pas à une maladie reconnue du système nerveux, à un autre trouble mental, comportemental ou neurodéveloppemental, ou à une autre affection médicale et qui ne surviennent pas exclusivement au cours d’un autre trouble dissociatif. Les experts ont ainsi retenu un diagnostic psychiatrique (trouble dissociatif) associé à un trouble de la vision. Il convient toutefois de relever que ces experts ne sont pas des spécialistes dans le domaine de l'ophtalmologie, de sorte qu'il apparaît nécessaire d'examiner si des éléments médicaux relevant de cette discipline et établis par des spécialistes de ce domaine médical sont de nature à justifier la mise en œuvre d'une expertise ophtalmologique complémentaire. En premier lieu, il est constaté que, dans un rapport du 16 novembre 2022, le Dr T______ (ophtalmologue) a exclu tout diagnostic ayant une répercussion sur la capacité de travail de l'assurée, relevant une mise en évidence d'un trouble réfraction complètement corrigible avec des lunettes, un pronostic et une évolution de l'atteinte qualifiés de bons et aucune restriction fonctionnelle du point de vue de sa spécialité. Aucun suivi ophtalmologique n'était préconisé. L'intéressée était en mesure de reprendre une activité professionnelle, à savoir son activité habituelle, à 100%. En outre, dans un rapport du 18 novembre 2022, la Dre L______ (ophtalmologue) a retenu le diagnostic de TC sans perte de connaissance et une diplopie dans certaines positions du regard. Concernant la répercussion de cette atteinte à la santé dans les domaines courants de la vie, la</w:t>
      </w:r>
    </w:p>
    <w:p>
      <w:r>
        <w:t>A/849/2024 - 32/35 - spécialiste a indiqué que l'assurée voyait double. Elle ne s'est toutefois pas prononcée sur la capacité de travail de la recourante. Enfin, selon un bilan orthoptique du 1er mai 2023, Mme V______ (orthoptiste) a indiqué que le syndrome post commotionnel occasionnait de multiples troubles, notamment une vision double intermittente de loin comme de près, ainsi qu'une photosensibilité importante. La correction prismatique intégrée sur les lunettes photochromiques de la recourante était adaptée et participait à un meilleur équilibre oculo-moteur qui restait cependant fragile, un spasme de convergence se déclenchant facilement à l'effort prolongé de fixation ou lors de mouvements rapides des yeux, de sorte qu'une surveillance orthoptique était souhaitable dans trois mois. Les deux rapports médicaux et le bilan orthoptique susvisés, sur lesquels les experts ne se sont pas expressément prononcés, font ainsi état de troubles de la vision dont le pronostic a été qualifié de bon par le Dr T______ et pour lesquels aucun suivi ophtalmologique n'a été préconisé par ce même spécialiste et une surveillance orthoptique a été qualifiée de souhaitable dans un délai de trois mois par Mme V______. Or, à la lecture du bilan orthoptique de Mme V______ du 13 février 2024 et du rapport du Dr AC______ du 1er mars 2024, postérieurs à l'expertise, force est de constater que l'évolution positive des troubles de la vision envisagée par le Dr T______ et Mme V______ dans leurs rapports susvisés ne s'est pas vérifiée dès lors que ces troubles sont toujours présents chez la recourante plus d'une année après leurs évaluations médicales respectives : en effet, Mme V______ a retenu que si la correction prismatique sur lunettes photochromiques était encore adaptée et participait à un meilleur équilibre oculo-moteur, cet équilibre restait toutefois très fragile et fonction de l'état de « forme » de la recourante. Par ailleurs, un spasme en convergence se déclenchait très facilement à l'effort de fixation et aux mouvements rapides des yeux, de sorte qu'une surveillance orthoptique était souhaitable dès qu'un bilan neurologique serait effectué. Si le Dr AC______ n'est pas un spécialiste du domaine de l'ophtalmologie, force est de constater que ce dernier a également relevé, s'agissant des nerfs crâniens, une poursuite oculaire marquée par des spasmes de convergence notamment à droite, mais aussi à gauche. Au vu de ce qui précède, il doit être retenu, au degré de la vraisemblance prépondérante, que les troubles visuels persistaient au mois de mars 2024.</w:t>
      </w:r>
    </w:p>
    <w:p>
      <w:r>
        <w:rPr>
          <w:b/>
        </w:rPr>
        <w:t>E. 6.2.2</w:t>
      </w:r>
    </w:p>
    <w:p>
      <w:r>
        <w:t>Il apparaît ainsi que les rapports de Mme V______ et du Dr AC______ susmentionnés sont de nature à mettre en doute l'analyse effectuée par les Drs T______ et L______, point qui nécessite d'être instruit. Il sera ici rappelé que, si le diagnostic incapacitant de trouble dissociatif à symptômes neurologiques avec troubles de la vision (code 6B60.0 CIM-11) a été retenu dans l'expertise, celle-ci n'a pas comporté de volet ophtalmologique, de sorte que l'analyse effectuée par les experts ne comporte pas une analyse complète dans cette spécialité. Par ailleurs, quand bien même ce diagnostic faisant état de troubles de</w:t>
      </w:r>
    </w:p>
    <w:p>
      <w:r>
        <w:t>A/849/2024 - 33/35 - la vision a été retenu, l'examen de la capacité de travail de la recourante ne fait pas état de ces troubles oculaires, ni des éventuelles limitations fonctionnelles en découlant. Dans ces circonstances, la chambre de céans considère que les troubles de la vision de la recourante et leur incidence sur la capacité de travail de la recourante devront faire l'objet d'une expertise ophtalmologique complémentaire, en particulier au vu de la capacité de travail admise par les experts et par l'intimé, dans un premier temps à 50% puis à 100%, dans une activité d'adjointe administrative qui nécessite, selon toute vraisemblance, une acuité visuelle certaine et en l'absence de limitation fonctionnelle retenue en lien avec les troubles de la vision susvisés.</w:t>
      </w:r>
    </w:p>
    <w:p>
      <w:r>
        <w:rPr>
          <w:b/>
        </w:rPr>
        <w:t>E. 6.3</w:t>
      </w:r>
    </w:p>
    <w:p>
      <w:r>
        <w:t>Au vu des éléments qui précèdent, la chambre de céans est d'avis qu'aucun élément médical versé au dossier ne permet de statuer, sous l'angle de la vraisemblance prépondérante, sur les troubles ophtalmologiques allégués par la recourante, sur leur relation de causalité naturelle avec l'accident, sur les éventuelles limitations fonctionnelles qui en découlent et sur l’évaluation de la capacité de travail de la recourante, ce qui justifie un renvoi de la cause à l'intimé afin que soit mise en œuvre une expertise ophtalmologique complémentaire au sens de l'art. 44 LPGA. Il conviendra en outre que les experts se déterminent de manière claire sur la capacité de travail de la recourante en précisant, en particulier, dans l'hypothèse où une capacité de travail serait retenue, si celle-ci doit être reconnue dans l'activité habituelle d'adjointe administrative telle que décrite ci-dessus ou dans une activité adaptée, et d'en préciser la nature et les éventuelles limitations fonctionnelles, en fonction également des conclusions de l'expertise complémentaire ophtalmologique. Les atteintes somatiques n'ayant pas été suffisamment investiguées par l'intimé, l'examen de la causalité adéquate entre l'accident du 1er mars 2021 et les troubles psychiques est prématuré, conformément à la jurisprudence fédérale applicable en la matière (arrêt du Tribunal fédéral 8C_235/2020 du 15 février 2021 consid. 2.3 et les références). Il en va de même concernant l'examen du taux de l'indemnité pour atteinte à l'intégrité, puisque les atteintes à la santé et les limitations fonctionnelles dues à l'accident ne sont en l’état pas établies. Il incombera à l'intimé de se déterminer sur ces questions une fois que les troubles somatiques auront été investigués et clarifiés. 7. Au vu de ce qui précède, le recours sera partiellement admis, la décision sur opposition litigieuse annulée et la cause renvoyée à l'intimé pour instruction complémentaire, puis nouvelle décision, au sens des considérants.</w:t>
      </w:r>
    </w:p>
    <w:p>
      <w:r>
        <w:rPr>
          <w:b/>
        </w:rPr>
        <w:t>E. 8</w:t>
      </w:r>
    </w:p>
    <w:p>
      <w:r>
        <w:t>La recourante obtenant partiellement gain de cause et étant assistée d'une avocate, une indemnité de CHF 2'500.- lui sera accordée à titre de participation à ses frais</w:t>
      </w:r>
    </w:p>
    <w:p>
      <w:r>
        <w:t>A/849/2024 - 34/35 - et dépens (art. 61 let. g LPA ; art. 6 du règlement sur les frais, émoluments et indemnités en matière administrative du 30 juillet 1986 - RFPA - E 5 10.03). Pour le surplus, en l’absence de loi spéciale prévoyant des frais judiciaires, la procédure est gratuite (art. 61 let. fbis LPGA en lien avec l’art. 1 al. 1 LAA).</w:t>
      </w:r>
    </w:p>
    <w:p>
      <w:r>
        <w:t>A/849/2024 - 35/35 -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