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ATAS/61/2023 vom 30. Januar 2023</w:t>
      </w:r>
    </w:p>
    <w:p>
      <w:r>
        <w:t>GE Cour de justice, 2023-01-30, FR</w:t>
      </w:r>
    </w:p>
    <w:p>
      <w:r>
        <w:rPr>
          <w:b/>
        </w:rPr>
        <w:t xml:space="preserve">Quelle: </w:t>
      </w:r>
      <w:r>
        <w:t>https://mcp.opencaselaw.ch/entscheid/ge_gerichte_ATAS_61_2023</w:t>
      </w:r>
    </w:p>
    <w:p>
      <w:r>
        <w:t>FR: GE_GERICHTE ATAS/61/2023 du 30 janvier 2023</w:t>
      </w:r>
    </w:p>
    <w:p>
      <w:r>
        <w:t>IT: GE_GERICHTE ATAS/61/2023 del 30 gennaio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postérieurement au 1er janvier 2022 ; cependant, le litige concerne une éventuelle incapacité de travail de la recourante depuis 2017, de sorte que les dispositions légales applicables seront citées dans leur ancienne teneur.</w:t>
      </w:r>
    </w:p>
    <w:p>
      <w:r>
        <w:rPr>
          <w:b/>
        </w:rPr>
        <w:t>E. 1.3</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d’invalidité, singulièrement sur l’évaluation de sa capacité de travail et de son statut.</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w:t>
      </w:r>
    </w:p>
    <w:p>
      <w:r>
        <w:t>A/831/2022 - 6/15 -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3.2</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A/831/2022 - 7/15 - assurances sociales atteigne le degré de vraisemblance prépondérante (ATF 144 I 28 consid. 2.3 et les références; ATF 141 V 15 consid. 3.1; ATF 137 V 334 consid. 3.2; ATF 125 V 146 consid. 2c ainsi que les références).</w:t>
      </w:r>
    </w:p>
    <w:p>
      <w:r>
        <w:rPr>
          <w:b/>
        </w:rPr>
        <w:t>E. 3.3</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w:t>
      </w:r>
    </w:p>
    <w:p>
      <w:r>
        <w:t>A/831/2022 - 8/15 -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4.4</w:t>
      </w:r>
    </w:p>
    <w:p>
      <w:r>
        <w:t>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w:t>
      </w:r>
    </w:p>
    <w:p>
      <w:r>
        <w:t>A/831/2022 - 9/15 - travail réellement réalisable (cf.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w:t>
      </w:r>
    </w:p>
    <w:p>
      <w:r>
        <w:t>A/831/2022 - 10/15 - (ATF 143 V 269 consid. 6.2.3.2 et les références ; ATF 135 V 465 consid. 4.4. et les références ; ATF 125 V 351 consid. 3b/aa et les références).</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7</w:t>
      </w:r>
    </w:p>
    <w:p>
      <w:r>
        <w:t>En l’occurrence, du point de vue psychiatrique, la chambre de céans a estimé qu’une expertise judiciaire était nécessaire. La Dresse I______, en charge de ce mandat, a rendu son rapport d’expertise le 26 octobre 2022.</w:t>
      </w:r>
    </w:p>
    <w:p>
      <w:r>
        <w:rPr>
          <w:b/>
        </w:rPr>
        <w:t>E. 7.1</w:t>
      </w:r>
    </w:p>
    <w:p>
      <w:r>
        <w:t>Fondé sur toutes les pièces du dossier, comprenant une anamnèse complète, la description d’une journée-type et les plaintes de la recourante, posant des diagnostics clairs et évaluant par une motivation convaincante, en tenant compte des indicateurs de gravité, la capacité de travail de la recourante, le rapport d’expertise de la Dresse I______ répond aux critères jurisprudentiels précités pour qu’il lui soit reconnu une pleine valeur probante.</w:t>
      </w:r>
    </w:p>
    <w:p>
      <w:r>
        <w:t>A/831/2022 - 11/15 - L’experte conclut à un diagnostic de modification durable de la personnalité après une expérience de catastrophe, incapacitant à hauteur de 50% dans l’activité habituelle depuis 2017 ; une activité adaptée (dans l’administration) était exigible à 100% mais uniquement à partir de l’instauration d’un traitement médicamenteux.</w:t>
      </w:r>
    </w:p>
    <w:p>
      <w:r>
        <w:rPr>
          <w:b/>
        </w:rPr>
        <w:t>E. 7.2</w:t>
      </w:r>
    </w:p>
    <w:p>
      <w:r>
        <w:t>L’intimé, par l’avis du SMR du 21 novembre 2022, estime que l’expertise judiciaire est convaincante, en particulier qu’elle est plus complète que celle de la CRR et reconnait chez la recourante une décompensation de la modification durable de la personnalité. Il s’écarte toutefois de la conclusion de l’experte sur la capacité de travail de la recourante, en estimant qu’une activité adaptée est exigible à un taux de 100% (moins de contact avec le public, moins de stress) depuis 2017, nonobstant l’absence de traitement médicamenteux. Quant à la recourante, elle conteste l’évaluation par l’experte de sa capacité de travail, en relevant que ses atteintes ont été minimisées et qu’elle est totalement incapable de travailler. Or, il convient de constater que tant les critiques de l’intimé que celles de la recourante à l’égard du rapport d’expertise judiciaire doivent être écartées.</w:t>
      </w:r>
    </w:p>
    <w:p>
      <w:r>
        <w:rPr>
          <w:b/>
        </w:rPr>
        <w:t>E. 7.2.1</w:t>
      </w:r>
    </w:p>
    <w:p>
      <w:r>
        <w:t>L’intimé n’explique pas de façon convaincante les motifs justifiant de s’écarter de la conclusion claire de l’expertise judiciaire quant à l’impossibilité pour la recourante, avant l’instauration d’un traitement médicamenteux, d’exercer une activité à un taux supérieur à 50%. En effet, l’activité adaptée citée par le SMR, soit avec « moins de contact avec le public et moins de stress » n’est pas différente de celle mentionnée par l’experte judiciaire, soit une activité administrative ; par ailleurs, en l’état, l’experte judiciaire a considéré que la recourante ne pouvait pas composer avec le stress au-delà de quatre heures par jour (expertise judiciaire, p. 22) et qu’une activité adaptée à un taux de 100% ne pourrait être exigible que si les symptômes de son diagnostic étaient traités, permettant une meilleure gestion de la peur, de l’anxiété et des insomnies (expertise judiciaire, pp. 23 et 25). Dans ces conditions, l’intimé ne pouvait s’écarter de la conclusion claire de l’expertise judiciaire, ce d’autant qu’il a estimé celle-ci entièrement probante. Enfin, le fait que la recourante aurait, selon le SMR, refusé de prendre un traitement psychotrope ne saurait lui être opposé, les conditions de l’art. 21 al. 4 LPGA (réduction ou refus des prestations) n’étant manifestement pas remplies.</w:t>
      </w:r>
    </w:p>
    <w:p>
      <w:r>
        <w:rPr>
          <w:b/>
        </w:rPr>
        <w:t>E. 7.2.2</w:t>
      </w:r>
    </w:p>
    <w:p>
      <w:r>
        <w:t>Quant à la recourante, elle se borne à invoquer une atteinte à sa santé plus importante et incapacitante que celle retenue par l’experte judiciaire, sans amener à cet égard d’élément médical probant qui justifierait de s’écarter de celle-ci.</w:t>
      </w:r>
    </w:p>
    <w:p>
      <w:r>
        <w:rPr>
          <w:b/>
        </w:rPr>
        <w:t>E. 7.3</w:t>
      </w:r>
    </w:p>
    <w:p>
      <w:r>
        <w:t>Au demeurant, la conclusion de l’experte judiciaire peut être confirmée, soit une incapacité de travail de 50% de la recourante, dans toute activité, depuis l’annonce du cancer du fils de celle-ci (expertise judiciaire, p. 22), soit le 9 décembre 2017 (mémoire de recours, p. 5).</w:t>
      </w:r>
    </w:p>
    <w:p>
      <w:r>
        <w:t>A/831/2022 - 12/15 -</w:t>
      </w:r>
    </w:p>
    <w:p>
      <w:r>
        <w:rPr>
          <w:b/>
        </w:rPr>
        <w:t>E. 8</w:t>
      </w:r>
    </w:p>
    <w:p>
      <w:r>
        <w:t>Du point de vue somatique, les rapports d’expertises rhumatologique et de médecine interne de la CRR, fondés sur toutes les pièces du dossier, comprenant une anamnèse des diagnostics clairs et une évaluation médicale et médico- assurantielle convaincante, ont valeur probante, de sorte que la conclusion de l’expertise de la CRR quant à l’absence, du point de vue somatique, de tout diagnostic incapacitant, peut être retenue.</w:t>
      </w:r>
    </w:p>
    <w:p>
      <w:r>
        <w:rPr>
          <w:b/>
        </w:rPr>
        <w:t>E. 8.1</w:t>
      </w:r>
    </w:p>
    <w:p>
      <w:r>
        <w:t>La recourante conteste cette conclusion, en faisant valoir les avis de la Dresse D______ des 26 novembre 2021 et 26 janvier 2022. Or, l’évocation, par la Dresse D______, de la présence chez la recourante de plusieurs maladies chroniques totalement incapacitantes, soit une endométriose, des polypes endo-utériens bénins, des douleurs thoraciques et sus-claviculaires gauches, une hypertension, ainsi que des douleurs de l’hémiface gauche et des pieds, n’est pas à même de mettre en cause le rapport d’expertise somatique de la CRR. Ces affections ont en effet été prises en compte par les experts (expertise de médecine interne de la CRR, pp. 9 et 14 et de rhumatologie, p. 7) ; par ailleurs, la liste des affections somatiques effectuée par la Dresse D______ ne comprend aucune critique de la manière dont les experts de la CRR ont évalué l’impact des diagnostics posés sur la capacité de travail de la recourante.</w:t>
      </w:r>
    </w:p>
    <w:p>
      <w:r>
        <w:rPr>
          <w:b/>
        </w:rPr>
        <w:t>E. 8.2</w:t>
      </w:r>
    </w:p>
    <w:p>
      <w:r>
        <w:t>Au demeurant, du point de vue somatique, la recourante dispose d’une pleine capacité de travail, dans toute activité.</w:t>
      </w:r>
    </w:p>
    <w:p>
      <w:r>
        <w:rPr>
          <w:b/>
        </w:rPr>
        <w:t>E. 9</w:t>
      </w:r>
    </w:p>
    <w:p>
      <w:r>
        <w:t>Finalement, il convient de retenir que la recourante présente depuis le 9 décembre 2017 une capacité de travail limitée à un taux de 50% dans toute activité. Eu égard à la décision de l’intimé du refus de toute prestation du 27 février 2018, fondée uniquement sur l’absence d’atteinte orthopédique (avis du SMR du 15 janvier 2018), il convient de constater que l’aggravation de l’état psychique de la recourante, établi postérieurement à la décision précitée, fonde une révision de celle-ci (art. 17 LPGA).</w:t>
      </w:r>
    </w:p>
    <w:p>
      <w:r>
        <w:rPr>
          <w:b/>
        </w:rPr>
        <w:t>E. 10</w:t>
      </w:r>
    </w:p>
    <w:p>
      <w:r>
        <w:t>Il convient de calculer le degré d’invalidité de la recourante.</w:t>
      </w:r>
    </w:p>
    <w:p>
      <w:r>
        <w:rPr>
          <w:b/>
        </w:rPr>
        <w:t>E. 10.1</w:t>
      </w:r>
    </w:p>
    <w:p>
      <w:r>
        <w:t>S’agissant préalablement du statut de la recourante, l’intimé ne l’a pas indiqué dans les différentes décisions qu’il a rendues sur le droit de la recourante à des prestations d’invalidité. Il est uniquement relevé, dans le mandat adressé à la CRR, que le statut de la recourante est mixte 50% active et 50% ménagère et, dans le mandat du SMR du 1er février 2022, que le statut est mixte, sans aucune motivation. La représentante de l’OAI a, par ailleurs, confirmé, lors de l’audience du 13 juin 2022, que le statut retenu était mixte (50%-50%). Même peu motivé, il convient d’admettre que l’intimé a retenu un statut mixte de la recourante. La recourante conteste ce statut mixte, estimant qu’elle a un statut d’active. Il ressort du dossier que la recourante est titulaire d’un diplôme de sage-femme obtenu au Kosovo en 1997 et qu’elle a travaillé dans son pays durant deux ans.</w:t>
      </w:r>
    </w:p>
    <w:p>
      <w:r>
        <w:t>A/831/2022 - 13/15 - Dès son arrivée en Suisse, elle a suivi des cours de français et a travaillé comme manutentionnaire aux J______ à un taux de 100% d’août 2003 à mars 2004 ; elle a ensuite été employée par K______ et la blanchisserie L______ à un taux non précisé ainsi que comme aide à domicile puis, à un taux de 100%, comme aide- Soignante pour l’EMS M______ d’octobre 2007 à juillet 2008. Elle a cessé de travailler pour s’occuper de sa mère, malade, décédée le 23 février 2021. Elle a travaillé néanmoins à un taux de 50% du 24 au 30 novembre 2015, comme aide de cuisine pour le restaurant N______, activité abandonnée en raison de douleurs aux pieds. La recourante a précisé, lors de l’audience du 13 juin 2022, que si elle était en bonne santé, ainsi que son fils, elle travaillerait à un taux de 100%. Au vu du parcours précité et des déclarations de la recourante, il convient de constater que le statut de la recourante a varié au cours du temps. En effet, la recourante a dès son arrivée en Suisse démontré sa volonté de s’intégrer en suivant des cours de français et a ensuite exercé une activité à un taux de 100% tant pour les J______ que pour l’EMS M______. Son statut était, à cette époque- là, celui d’une personne active. Elle a ensuite cessé de travailler pour s’occuper de sa mère malade. C’est en 2015, qu’elle a tenté de reprendre une activité à un taux de 50%, qu’elle n’a effectivement exercée que du 24 au 30 novembre 2015. Ce taux de 50% permet de motiver un statut mixte 50%-50% de la recourante tant que celle-ci s’occupait de sa mère, en ayant renoncé, durant cette période, à assumer un emploi à 100%, mais en étant prête à s’engager dans une activité à 50%. Postérieurement au décès de la mère de la recourante, en février 2021, il convient d’admettre que cette dernière, titulaire d’un diplôme obtenu dans son pays, ayant suivi des cours de français dès son arrivée en Suisse et assumé des emplois à un taux de 100%, aurait, en bonne santé, exercé une activité à plein temps, ce d’autant qu’elle assume seule l’éducation de ses deux enfants, ce qui justifie un besoin financier certain. Certes, la recourante a déclaré qu’elle travaillerait à un taux de 100% si non seulement elle-même était en bonne santé mais aussi son fils, atteint d’un cancer. La recourante a ensuite indiqué que l’état de santé de son fils s’était dégradé depuis mars 2022 et qu’il avait dû récemment manquer l’école pendant cinq semaines (cf. écriture de la recourante du 28 novembre 2022). Or, la péjoration de l’état de santé de son fils, dès mars 2022, dès lors qu’elle est survenue postérieurement à la date de la décision litigieuse, ne peut être prise en compte. L’évolution de la situation de la recourante jusqu’à février 2022 permet de conclure que depuis le décès de la mère de celle-ci, en février 2021, elle aurait, en bonne santé, travaillé à un taux de 100%, l’état de santé de son fils ne commandant pas, à ce moment-là, la présence permanente de la recourante. En effet, les médecins ont indiqué que l’état de santé du fils de la recourante était stabilisé (expertise judiciaire, p. 24) et, à tout le moins depuis 2021, qu’il présentait une rémission de sa maladie (expertise de médecine interne de la CRR,</w:t>
      </w:r>
    </w:p>
    <w:p>
      <w:r>
        <w:t>A/831/2022 - 14/15 - pp. 9 et 10). Par ailleurs, l’experte I______ a relevé que c’était en réalité l’anxiété, soit l’affection psychiatrique dont souffre la recourante, qui l’obligeait - par peur d’une rechute de la maladie de son fils - à se rendre disponible en tout temps pour lui venir en aide (expertise judiciaire, p. 16). En conséquence, il convient d’admettre qu’en bonne santé, la recourante aurait, à tout le moins depuis février 2021, retravaillé, au degré de la vraisemblance prépondérante, à un taux de 100%. Partant, un statut mixte 50% active et 50% ménagère doit lui être reconnu jusqu’à janvier 2021 et un statut d’active doit lui être reconnu dès février 2021.</w:t>
      </w:r>
    </w:p>
    <w:p>
      <w:r>
        <w:rPr>
          <w:b/>
        </w:rPr>
        <w:t>E. 10.2</w:t>
      </w:r>
    </w:p>
    <w:p>
      <w:r>
        <w:t>Dès le 9 décembre 2018, le degré d’invalidité de la recourante doit être calculé sur la base d’un statut mixte, 50% active et 50% ménagère. La recourante étant reconnue capable de travailler à un taux de 50% dans son activité habituelle, le degré d’invalidité se confond avec celui de l’incapacité de travail. Ramené au statut d’active à 50%, il est de 25%. Il n’y a par ailleurs pas lieu de considérer qu’une enquête ménagère, pour la part non-active de 50%, est nécessaire dès lors que la recourante s’est occupée seule de sa mère malade, jusqu’en février 2021, et s’occupe encore de ses deux enfants. Or, le degré d’invalidité de 25% est insuffisant pour ouvrir le droit à une rente d’invalidité. Dès février 2021, compte tenu du statut d’active de la recourante, son degré d’invalidité est de 50%, lequel donne droit à une demi-rente d’invalidité dès le 1er février 2021, étant relevé que la demande de prestations a été déposée le 4 mars 2020, soit plus de six mois auparavant.</w:t>
      </w:r>
    </w:p>
    <w:p>
      <w:r>
        <w:rPr>
          <w:b/>
        </w:rPr>
        <w:t>E. 11</w:t>
      </w:r>
    </w:p>
    <w:p>
      <w:r>
        <w:t>Partant, la recours sera partiellement admis, la décision litigieuse annulée et il sera dit que la recourante a droit à une demi-rente d’invalidité dès le 1er février 2021. Pour le surplus, la recourante, représentée par un avocat, obtenant partiellement gain de cause, une indemnité de CHF 3'000.-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A/831/2022 - 15/15 -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