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ATAS/61/2022 vom 19. Januar 2022</w:t>
      </w:r>
    </w:p>
    <w:p>
      <w:r>
        <w:t>GE Cour de justice, 2022-01-19, FR</w:t>
      </w:r>
    </w:p>
    <w:p>
      <w:r>
        <w:rPr>
          <w:b/>
        </w:rPr>
        <w:t xml:space="preserve">Quelle: </w:t>
      </w:r>
      <w:r>
        <w:t>https://mcp.opencaselaw.ch/entscheid/ge_gerichte_ATAS_61_2022</w:t>
      </w:r>
    </w:p>
    <w:p>
      <w:r>
        <w:t>FR: GE_GERICHTE ATAS/61/2022 du 19 janvier 2022</w:t>
      </w:r>
    </w:p>
    <w:p>
      <w:r>
        <w:t>IT: GE_GERICHTE ATAS/61/2022 del 19 gennaio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6</w:t>
      </w:r>
    </w:p>
    <w:p>
      <w:r>
        <w:t>Le lige porte sur le droit du recourant à une rente d’invalidité, singulièrement sur le calcul du degré d’invalidité.</w:t>
      </w:r>
    </w:p>
    <w:p>
      <w:r>
        <w:rPr>
          <w:b/>
        </w:rPr>
        <w:t>E. 7</w:t>
      </w:r>
    </w:p>
    <w:p>
      <w:r>
        <w:t>Selon l’art 6 al.1 LAA, les prestations d’assurance sont allouées en cas d’accident en cas d'accident professionnel, d'accident non professionnel et de maladie professionnelle.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w:t>
      </w:r>
    </w:p>
    <w:p>
      <w:r>
        <w:rPr>
          <w:b/>
        </w:rPr>
        <w:t>E. 8</w:t>
      </w:r>
    </w:p>
    <w:p>
      <w:r>
        <w:t>a. Chez les assurés actifs, le degré d'invalidité doit être évalué sur la base d'une comparaison des revenus. Pour cela, le revenu que l'assuré aurait pu réaliser s'il</w:t>
      </w:r>
    </w:p>
    <w:p>
      <w:r>
        <w:t>A/2701/2020 - 6/12 -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b.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w:t>
      </w:r>
    </w:p>
    <w:p>
      <w:r>
        <w:rPr>
          <w:b/>
        </w:rPr>
        <w:t>E. 9</w:t>
      </w:r>
    </w:p>
    <w:p>
      <w:r>
        <w:t>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A/2701/2020 - 7/12 -</w:t>
      </w:r>
    </w:p>
    <w:p>
      <w:r>
        <w:rPr>
          <w:b/>
        </w:rPr>
        <w:t>E. 10</w:t>
      </w:r>
    </w:p>
    <w:p>
      <w:r>
        <w:t>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Pour établir le salaire réalisé en dernier lieu et son évolution subséquente, on se fondera en premier lieu sur les renseignements fournis par l'employeur (arrêt 8C_443/2018 du 30 janvier 2019 consid. 2.1; THOMAS FLÜCKIGER, Basler Kommentar UVG, 2019, n° 21 ad art. 18 LAA). Tant pour les personnes salariées que pour celles de condition indépendante, on peut également se référer aux revenus figurant dans l'extrait du compte individuel de l'AVS (arrêt 8C_443/2018 du 30 janvier 2019 consid. 2.1; FLÜCKIGER, loc. cit.; cf. arrêts du Tribunal fédéral 8C_661/2018 du 28 octobre 2019 consid. 3.2.2; 8C_9/2009 du 10 novembre 2009, in SVR 2010 IV n° 26 p. 79).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d.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w:t>
      </w:r>
    </w:p>
    <w:p>
      <w:r>
        <w:rPr>
          <w:b/>
        </w:rPr>
        <w:t>E. 13</w:t>
      </w:r>
    </w:p>
    <w:p>
      <w:r>
        <w:t>août 2012 consid. 3). Il convient de se référer à la version de l'ESS publiée au moment déterminant de la décision querellée (ATF 143 V 295 consid. 4 ; arrêt du</w:t>
      </w:r>
    </w:p>
    <w:p>
      <w:r>
        <w:t>A/2701/2020 - 8/12 - Tribunal fédéral 8C_655/2016 du 4 août 2017 consid. 6.3). A cet égard, l’ESS 2018 a été publiée le 21 avril 2020; l’ESS 2016, le 26 octobre 2018 (étant précisé que le tableau T1_tirage_skill_level a été corrigé le 8 novembre 2018) ; et l’ESS 2014, le</w:t>
      </w:r>
    </w:p>
    <w:p>
      <w:r>
        <w:rPr>
          <w:b/>
        </w:rPr>
        <w:t>E. 15</w:t>
      </w:r>
    </w:p>
    <w:p>
      <w:r>
        <w:t>Mal fondé, le recours est rejeté.</w:t>
      </w:r>
    </w:p>
    <w:p>
      <w:r>
        <w:rPr>
          <w:b/>
        </w:rPr>
        <w:t>E. 16</w:t>
      </w:r>
    </w:p>
    <w:p>
      <w:r>
        <w:t>La procédure est gratuite.</w:t>
      </w:r>
    </w:p>
    <w:p>
      <w:r>
        <w:t>A/2701/2020 - 12/12 -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