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ATAS/61/2020 vom 29. Januar 2020</w:t>
      </w:r>
    </w:p>
    <w:p>
      <w:r>
        <w:t>GE Cour de justice, 2020-01-29, FR</w:t>
      </w:r>
    </w:p>
    <w:p>
      <w:r>
        <w:rPr>
          <w:b/>
        </w:rPr>
        <w:t xml:space="preserve">Quelle: </w:t>
      </w:r>
      <w:r>
        <w:t>https://mcp.opencaselaw.ch/entscheid/ge_gerichte_ATAS_61_2020</w:t>
      </w:r>
    </w:p>
    <w:p>
      <w:r>
        <w:t>FR: GE_GERICHTE ATAS/61/2020 du 29 janvier 2020</w:t>
      </w:r>
    </w:p>
    <w:p>
      <w:r>
        <w:t>IT: GE_GERICHTE ATAS/61/2020 del 29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A/2068/2019 - 6/11 -</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compte tenu de la suspension des délais du 7e jour avant Pâques au 7e jour après Pâques inclusivement (art. 38 al. 4 let. a LPGA et art. 89C let. a loi sur la procédure administrative du 12 septembre 1985 (LPA-GE - E 5 10), le recours est recevable (art. 56 ss LPGA et 89B LPA-GE).</w:t>
      </w:r>
    </w:p>
    <w:p>
      <w:r>
        <w:rPr>
          <w:b/>
        </w:rPr>
        <w:t>E. 4</w:t>
      </w:r>
    </w:p>
    <w:p>
      <w:r>
        <w:t>Est litigieux le droit de la recourante à l’assistance juridique dans le cadre de la procédure d’audition faisant suite au projet de refus de prestations du 3 janvier 2019, plus particulièrement la question de savoir si la complexité de la cause justifie l’assistance d’un avocat.</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t>A/2068/2019 - 7/11 -</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w:t>
      </w:r>
    </w:p>
    <w:p>
      <w:r>
        <w:t>A/2068/2019 - 8/11 -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w:t>
      </w:r>
    </w:p>
    <w:p>
      <w:r>
        <w:rPr>
          <w:b/>
        </w:rPr>
        <w:t>E. 8</w:t>
      </w:r>
    </w:p>
    <w:p>
      <w:r>
        <w:t>a. En l'espèce, la recourante sollicite l'assistance juridique dans le cadre de la procédure d'audition consécutive au projet de refus de prestations d’invalidité du 3 janvier 2019. Ce dernier se base sur les renseignements fournis par l’OCE le 14 mars 2017, sur le rapport du Dr B______ du 10 août 2018 et sur l’avis SMR du 25 novembre 2018. Dans sa contestation dudit projet, la recourante a reproché à l’intimé d’avoir procédé à une instruction médicale lacunaire et de ne pas avoir effectué une enquête ménagère à domicile. Elle a fait valoir également que</w:t>
      </w:r>
    </w:p>
    <w:p>
      <w:r>
        <w:t>A/2068/2019 - 9/11 - l’activité lucrative exercée à 60 % l’avait été pour des raisons médicales. Elle sollicitait le droit à un reclassement. Au vu de la jurisprudence citée ci-dessus, la nature du litige concernant le droit éventuel à des mesures de réadaptation ne permet pas d’admettre que la situation juridique de la recourante est susceptible d’être touchée gravement, de sorte que l’assistance juridique n’apparaît pas d’emblée comme nécessaire. Dès lors, il convient d’examiner s’il s’agit d’un cas exceptionnel, plus particulièrement si la détermination du degré d’invalidité de la recourante pose des difficultés telles, d’un point de vue objectif, que le recours à un avocat se justifiait. b. Sur le plan médical, le SMR a admis les diagnostics posés par le Dr B______ le</w:t>
      </w:r>
    </w:p>
    <w:p>
      <w:r>
        <w:rPr>
          <w:b/>
        </w:rPr>
        <w:t>E. 10</w:t>
      </w:r>
    </w:p>
    <w:p>
      <w:r>
        <w:t>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A/2068/2019 - 11/11 -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