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ATAS/61/2018 vom 24. Januar 2018</w:t>
      </w:r>
    </w:p>
    <w:p>
      <w:r>
        <w:t>GE Cour de justice, 2018-01-24, FR</w:t>
      </w:r>
    </w:p>
    <w:p>
      <w:r>
        <w:rPr>
          <w:b/>
        </w:rPr>
        <w:t xml:space="preserve">Quelle: </w:t>
      </w:r>
      <w:r>
        <w:t>https://mcp.opencaselaw.ch/entscheid/ge_gerichte_ATAS_61_2018</w:t>
      </w:r>
    </w:p>
    <w:p>
      <w:r>
        <w:t>FR: GE_GERICHTE ATAS/61/2018 du 24 janvier 2018</w:t>
      </w:r>
    </w:p>
    <w:p>
      <w:r>
        <w:t>IT: GE_GERICHTE ATAS/61/2018 del 24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w:t>
      </w:r>
    </w:p>
    <w:p>
      <w:r>
        <w:t>A/2120/2015 - 17/25 -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1er al. 1 LAA, les dispositions de la LPGA s’appliquent à l’assurance-accidents, à moins que la loi n’y déroge expressément.</w:t>
      </w:r>
    </w:p>
    <w:p>
      <w:r>
        <w:rPr>
          <w:b/>
        </w:rPr>
        <w:t>E. 3</w:t>
      </w:r>
    </w:p>
    <w:p>
      <w:r>
        <w:t>Le délai de recours est de trente jours (art. 60 al. 1 LPGA). Interjeté dans la forme et le délai prévus par la loi, le recours est recevable, en vertu des art. 56 ss LPGA.</w:t>
      </w:r>
    </w:p>
    <w:p>
      <w:r>
        <w:rPr>
          <w:b/>
        </w:rPr>
        <w:t>E. 4</w:t>
      </w:r>
    </w:p>
    <w:p>
      <w:r>
        <w:t>Le litige porte sur la question de savoir si l'intimé doit prendre en charge les frais de traitement pour l’intervention chirurgicale qu'a subie le recourant le 29 août 2014 et les indemnités journalières consécutives.</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b. L’art. 6 al. 2 LAA a conféré au Conseil fédéral la compétence d’étendre la prise en charge par l’assurance-accidents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w:t>
      </w:r>
    </w:p>
    <w:p>
      <w:r>
        <w:t>A/2120/2015 - 18/25 -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A/2120/2015 - 19/25 -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w:t>
      </w:r>
    </w:p>
    <w:p>
      <w:r>
        <w:t>A/2120/2015 - 20/25 -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(arrêt du Tribunal fédéral des assurances du 20 août 1997consid. 2b; ATF 116 V 152, consid. 4d).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w:t>
      </w:r>
    </w:p>
    <w:p>
      <w:r>
        <w:t>A/2120/2015 - 21/25 -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w:t>
      </w:r>
    </w:p>
    <w:p>
      <w:r>
        <w:t>b.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w:t>
      </w:r>
    </w:p>
    <w:p>
      <w:r>
        <w:rPr>
          <w:b/>
        </w:rPr>
        <w:t>E. 11</w:t>
      </w:r>
    </w:p>
    <w:p>
      <w:r>
        <w:t>a. Les prestations d'assurance sont également allouées en cas de rechutes et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w:t>
      </w:r>
    </w:p>
    <w:p>
      <w:r>
        <w:t>b. Lorsque l’assureur et l’assuré sont en désaccord au sujet de la prolongation du droit à la prise en charge de prestations qui peuvent être qualifiées d’importantes, la clôture du cas doit être signifiée au moyen d’une décision formelle (ATF 132 V 412</w:t>
      </w:r>
    </w:p>
    <w:p>
      <w:r>
        <w:t>A/2120/2015 - 22/25 - consid. 4).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A/2120/2015 - 23/25 - l'expert soient bien motivées (ATF 134 V 231 consid. 5.1; ATF 133 V 450 consid. 11.1.3; ATF 125 V 351 consid. 3).</w:t>
      </w:r>
    </w:p>
    <w:p>
      <w:r>
        <w:t>b. Sans remettre en cause le principe de la libre appréciation des preuves, le Tribunal fédéral des assurances a posé des lignes directrices en ce qui concerne la manière d'apprécier certains types d'expertises ou de rapports médicaux (ATF 125 V 351 consid. 3b).</w:t>
      </w:r>
    </w:p>
    <w:p>
      <w:r>
        <w:t>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b/cc. En ce qui concerne les rapports établis par les médecins traitants, le juge peut et doit tenir compte du fait que, selon l'expérience, le médecin traitant est</w:t>
      </w:r>
    </w:p>
    <w:p>
      <w:r>
        <w:t>A/2120/2015 - 24/25 - généralement enclin, en cas de doute, à prendre parti pour son patient en raison de la relation de confiance qui l'unit à ce dernier (ATF 125 V 351 consid. 3b/cc).</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l'espèce, il convient d'examiner en premier la valeur probante de l'expertise effectuée par le Dr S_____. Selon le rapport du 29 mai 2017, elle se fonde sur l'étude du dossier mis à disposition de l'expert, la recherche et l'étude de documents manquants, un nouvel examen neurologique complet demandé par l'expert ainsi que deux IRM également requises par l'expert et deux rendez-vous avec l'expertisé. Le rapport d'expertise contient une anamnèse détaillée, les données subjectives de l'expertisé et des constations objectives. Les conclusions de l'expert sont claires et convaincantes. Les parties n’ont pas fait valoir de critiques à leur encontre. Le rapport d'expertise remplit ainsi en tous points les réquisits jurisprudentiels pour se voir accorder une pleine valeur probante. Selon l'expert, l’arrêt de travail du 29 août 2014 à 100% au 31 mars 2015 ne peut pas être considéré comme étant d’origine accidentelle, puisque l’intervention du 29 août 2014 n’a pas été effectuée pour des lésions d’origine accidentelle mais pour des lésions dégénératives. Il en résulte que c'est à juste titre que l’intimée a refusé de prendre en charge les frais de traitement pour l’intervention chirurgicale qu'a subie le recourant le 29 août 2014 et les indemnités journalières consécutives. Sa décision doit par conséquent être confirmée et le recours rejeté.</w:t>
      </w:r>
    </w:p>
    <w:p>
      <w:r>
        <w:rPr>
          <w:b/>
        </w:rPr>
        <w:t>E. 15</w:t>
      </w:r>
    </w:p>
    <w:p>
      <w:r>
        <w:t>La procédure est gratuite (art. 61 let. a LPGA). PAR CES MOTIFS, LA CHAMBRE DES ASSURANCES SOCIALES :</w:t>
      </w:r>
    </w:p>
    <w:p>
      <w:r>
        <w:t>A/2120/2015 - 25/25 -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