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ATAS/61/2009 vom 26. Januar 2009</w:t>
      </w:r>
    </w:p>
    <w:p>
      <w:r>
        <w:t>GE Cour de justice, 2009-01-26, FR</w:t>
      </w:r>
    </w:p>
    <w:p>
      <w:r>
        <w:rPr>
          <w:b/>
        </w:rPr>
        <w:t xml:space="preserve">Quelle: </w:t>
      </w:r>
      <w:r>
        <w:t>https://mcp.opencaselaw.ch/entscheid/ge_gerichte_ATAS_61_2009</w:t>
      </w:r>
    </w:p>
    <w:p>
      <w:r>
        <w:t>FR: GE_GERICHTE ATAS/61/2009 du 26 janvier 2009</w:t>
      </w:r>
    </w:p>
    <w:p>
      <w:r>
        <w:t>IT: GE_GERICHTE ATAS/61/2009 del 26 gennaio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La décision, envoyée par l'OCAI sous pli simple, a été reçue en l'Etude du mandataire de la recourante en date du 24 octobre 2008. Par conséquent, le recours interjeté le 24 novembre 2008 en la forme prescrite est recevable (art. 56 et 60 LPGA).</w:t>
      </w:r>
    </w:p>
    <w:p>
      <w:r>
        <w:rPr>
          <w:b/>
        </w:rPr>
        <w:t>E. 4</w:t>
      </w:r>
    </w:p>
    <w:p>
      <w:r>
        <w:t>Le litige porte sur le point de savoir si l'intimé était fondé à réduire, par voie de révision, la rente entière d'invalidité de la recourante à un trois-quarts de rente. Préalablement, le Tribunal de céans doit examiner la question de la restitution de l'effet suspensif sollicitée par la recourante.</w:t>
      </w:r>
    </w:p>
    <w:p>
      <w:r>
        <w:rPr>
          <w:b/>
        </w:rPr>
        <w:t>E. 5</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w:t>
      </w:r>
    </w:p>
    <w:p>
      <w:r>
        <w:t>A/4329/2008 - 8/10 -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applicable par analogie à l'assurance- invalidité en vertu de l'art. 81 LAI (abrogé par la LPGA).</w:t>
      </w:r>
    </w:p>
    <w:p>
      <w:r>
        <w:rPr>
          <w:b/>
        </w:rPr>
        <w:t>E. 6</w:t>
      </w:r>
    </w:p>
    <w:p>
      <w:r>
        <w:t>En l'espèce, l'intimé a réduit la rente entière d'invalidité à un trois-quart de rente suite à la procédure de révision, à l'issue de laquelle il a constaté que l'évolution de l'état de santé de la recourante a été favorable, ce que cette dernière conteste. Le Tribunal de céans constate que l'intimé a ordonné une expertise rhumatologique de la recourante, aux termes de laquelle l'expert a retenu notamment un nouveau diagnostic avec répercussion sur la capacité de travail, à savoir celui de syndrome polyinsertionnel douloureux récurrent (fibromyalgie) et une capacité de travail de 80 % dans une activité adaptée. L'expert s'est par ailleurs prononcé sur le "status post-trouble anxio-dépressif " qu'il a considéré comme actuellement stabilisé, de même que la crise d'épilepsie généralisée récurrente.</w:t>
      </w:r>
    </w:p>
    <w:p>
      <w:r>
        <w:t>A/4329/2008 - 9/10 - Or, de jurisprudence constante,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Il n'apparaît pas que tel soit le cas en l'occurrence. En effet, la capacité de travail de 80 % déterminée par l'expert n'a pas été retenue par le SMR, qui estime que l'on ne saurait exiger davantage qu'un 50 % dans une activité adaptée. Enfin, l'expert a considéré que l'épilepsie est stabilisée sous traitement, contrairement à ce qu'indiquent le médecin traitant et le neurologue. A ce stade de la procédure, dès lors qu'un expert psychiatre ne s'est pas prononcé, il apparaît que les chances de succès de la recourante quant au fond n'apparaissent pas vouées à l'échec. Au vu de ce qui précède, la requête en rétablissement de l'effet suspensif est admise.</w:t>
      </w:r>
    </w:p>
    <w:p>
      <w:r>
        <w:rPr>
          <w:b/>
        </w:rPr>
        <w:t>E. 7</w:t>
      </w:r>
    </w:p>
    <w:p>
      <w:r>
        <w:t>La recourante, qui obtient gain de cause, a droit à une indemnité à titre de participation à ses frais et dépens, fixée en l'espèce à 1'000 fr. (61 let. g LPGA).</w:t>
      </w:r>
    </w:p>
    <w:p>
      <w:r>
        <w:t>A/4329/2008 - 10/10 -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