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ATAS/619/2008 vom 28. Mai 2008</w:t>
      </w:r>
    </w:p>
    <w:p>
      <w:r>
        <w:t>GE Cour de justice, 2008-05-28, FR</w:t>
      </w:r>
    </w:p>
    <w:p>
      <w:r>
        <w:rPr>
          <w:b/>
        </w:rPr>
        <w:t xml:space="preserve">Quelle: </w:t>
      </w:r>
      <w:r>
        <w:t>https://mcp.opencaselaw.ch/entscheid/ge_gerichte_ATAS_619_2008</w:t>
      </w:r>
    </w:p>
    <w:p>
      <w:r>
        <w:t>FR: GE_GERICHTE ATAS/619/2008 du 28 mai 2008</w:t>
      </w:r>
    </w:p>
    <w:p>
      <w:r>
        <w:t>IT: GE_GERICHTE ATAS/619/2008 del 28 maggio 2008</w:t>
      </w:r>
    </w:p>
    <w:p>
      <w:pPr>
        <w:pStyle w:val="Heading2"/>
      </w:pPr>
      <w:r>
        <w:t>Erwägungen</w:t>
      </w:r>
    </w:p>
    <w:p>
      <w:r>
        <w:rPr>
          <w:b/>
        </w:rPr>
        <w:t>E. 18</w:t>
      </w:r>
    </w:p>
    <w:p>
      <w:r>
        <w:t>Cette écriture a été communiquée à la recourante le 8 février 2008.</w:t>
      </w:r>
    </w:p>
    <w:p>
      <w:r>
        <w:rPr>
          <w:b/>
        </w:rPr>
        <w:t>E. 19</w:t>
      </w:r>
    </w:p>
    <w:p>
      <w:r>
        <w:t>Sur quoi, la cause a été gardée à juger. 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w:t>
      </w:r>
    </w:p>
    <w:p>
      <w:r>
        <w:t>A/2/2008 - 7/11 - 335 consid. 1.2; ATF 129 V 4 consid. 1.2; ATF 127 V 467 consid. 1, 126 V 136 consid. 4b et les références). Aussi le droit litigieux doit-il être examiné à l'aune des dispositions de la LAI en vigueur jusqu'au 31 décembre 2002, pour la période courant jusqu'à cette date, puis à celle de la nouvelle réglementation pour la période postérieure. Les dispositions de la novelle du 21 mars 2003 modifiant la LAI (4ème révision), entrées en vigueur le 1er janvier 2004 (RO 2003 3852), sont régies par le même principe. Les règles de procédure quant à elles s'appliquent sans réserve dès le jour de son entrée en vigueur (ATF 117 V 93 consid. 6b, 112 V 360 consid. 4a; RAMA 1998 KV 37 p. 316 consid. 3b). 3. Interjeté dans les forme et délais prescrits par la loi, le recours est recevable (art. 56 et 60 LPGA). 4. L'objet du litige porte sur la suppression au 30 juin 2005 de la rente entière d'invalidité. 5.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w:t>
      </w:r>
    </w:p>
    <w:p>
      <w:r>
        <w:t>A/2/2008 - 8/11 - 1er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Par ailleurs,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Les données médicales constituent ainsi un élément utile pour déterminer quels travaux sont raisonnablement exigibles de la part de l'assuré (ATF 125 V 261 consid. 4, 115 V 134 consid. 2, 114 V 314 consid. 3c, 105 V 158 consid. 1; SPIRA, La preuve en droit des assurances sociales, in Mélanges en l'honneur de Henri-Robert Schüpbach, Bâle 2000, p. 268 ). Lorsque le litige concerne plus particulièrement des mesures d'ordre professionnel, le médecin indiquera, en outre, si l'état de santé de l'assuré permet le reclassement ou la formation dans une nouvelle profession et, dans l'affirmative, quelles sont les activités adaptées au handicap de l'intéressé du point de vue médical. Le juge des assurances sociales apprécie librement les preuves (art. 61 let. c LPGA). Toutefois, si les rapports médicaux sont contradictoires, il ne peut trancher l'affaire sans indiquer les raisons pour lesquelles il se fonde sur une opinion</w:t>
      </w:r>
    </w:p>
    <w:p>
      <w:r>
        <w:t>A/2/2008 - 9/11 -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7. En l'espèce, il résulte du dossier médical que la recourante présente des séquelles du membre supérieur gauche, sous forme d'une neuropathie douloureuse compressive du nerf ulnaire au poignet et au coude gauche. Selon le Dr G_________, la recourante présente également une composante anxiogène des douleurs, qu'un suivi psychothérapeutique pourrait réduire. Les atteintes à la santé de la recourante entraînent une incapacité de travail totale dans l'activité de serveuse ou d'employée de bureau. Dans son rapport du 9 mai 2005, le Dr G_________ indique qu'une reprise de travail est envisageable au décours de la fin du congé maternité, dans une activité de bureau, à raison de 4 heures par jour au vu de la fatigabilité accrue du membre supérieur gauche et des hyperesthésies rencontrées au contact d'objets lors de changements de température. Le médecin précise qu'une évaluation médicale complémentaire par un spécialiste de la douleur pourrait être utile. Le médecin traitant actuel, le Dr L_________, indique que les effets secondaires entravent la recourante dans l'accomplissement des activités de la vie quotidienne et à fortiori d'avoir une activité professionnelle régulière, mais il ne se prononce pas de façon précise sur la capacité de travail. En août 2005, le Dr H_________ signale à l'examen électroneuromyographique une nette péjoration de l'atteinte focale du nerf médian droit au canal carpien, avec des signes de perte axonale sensitive et motrice, mais il ne se prononce pas sur la capacité de travail. Les médecins du SMR concluent pour leur part que la recourante, du point de vue psychiatrique, présente une majoration des symptômes physiques pour des raisons psychologiques, diagnostic qui est cependant sans influence sur la capacité de travail. Du point de vue somatique, ils retiennent une atteinte neurologique du membre supérieur gauche et évaluent la capacité de travail à 50 % comme serveuse</w:t>
      </w:r>
    </w:p>
    <w:p>
      <w:r>
        <w:t>A/2/2008 - 10/11 - depuis juin 2005, date à partir de laquelle il y a une stabilisation de l'atteinte séquellaire neurologique au membre supérieur gauche, et à 80 % dans une activité adaptée. Le Tribunal de céans constate que l'examen du SMR est entaché d'irrégularités d'ordre formel. En effet, l'examen psychiatrique a été effectué par le Dr K_________ qui a signé le rapport daté du 22 mars 207 en tant que psychiatre FMH. Toutefois, selon la liste des médecins établie par le SMR en date du 5 juillet 2007, ce médecin a obtenu son FMH en psychiatrie et psychothérapie en 2007 et la demande d'autorisation de pratiquer est en cours. Par conséquent, force est de constater qu'au moment de l'examen du 24 novembre 2006, le Dr K_________ ne disposait ni du titre de FMH en psychiatrie et psychothérapie, ni de l'autorisation de pratiquer. Quant à la Dresse J_________, qui a pratiqué l'examen somatique, elle a certes obtenu son FMH en chirurgie de la main en 1989, mais elle ne possède pas d'autorisation de pratiquer et figure sur la liste du SMR comme médecin de dossiers. Par conséquent, en application de la jurisprudence, le rapport du SMR ne peut se voir attribuer une pleine valeur probante et le Tribunal de céans ne saurait tirer des conclusions définitives quant à la capacité de travail de la recourante depuis mai 2005 dans une activité adaptée, en se fondant sur le seul rapport du SMR (cf. ATF du 31 août 2007 I 65/07 et du 10 avril 2008 9C _490/07). 8. Par conséquent, la cause doit être renvoyée à l'intimé afin qu'il mette en œuvre une expertise bidisciplinaire somatique et psychiatrique. Les médecins appelés à se prononcer devront notamment décrire quelles sont les limitations fonctionnelles que présente la recourante et quelles en sont les conséquences sur la capacité de travail, tant dans l'activité habituelle que dans une activité adaptée. Ceci fait, il conviendra alors d'examiner, le cas échéant, si des mesures de réadaptation entrent en ligne de compte. 9. Enfin, conformément à l'art. 88a al. 1 RAI, en cas d'amélioration de la capacité de gain, la rente ne peut être supprimée que si ce changement déterminant a duré trois mois déjà, sans interruption notable et sans qu'une complication prochaine soit à craindre. Or, dans la mesure où l'intimé a constaté que la stabilisation remonte au mois de juin 2005, il ne pouvait quoi qu'il en soit pas supprimer la rente avant le 30 septembre 2005, ce sans préjudice de ses droits futurs. 10. Au vu de ce qui précède, le recours est partiellement admis. 11. La recourante, représentée par un avocat, a droit à une indemnité à titre de participation à ses frais et dépens, fixée en l'espèce à 1'000 fr. (art. 89H al. 3 LPA, 61 let. g LPGA). 12. Un émolument de 500 fr. est mis à la charge de l'OCAI qui succombe (art. 69 al. 1bis LAI).</w:t>
      </w:r>
    </w:p>
    <w:p>
      <w:r>
        <w:t>A/2/2008 - 11/11 -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