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ATAS/619/2005 vom 18. Juli 2005</w:t>
      </w:r>
    </w:p>
    <w:p>
      <w:r>
        <w:t>GE Cour de justice, 2005-07-18, FR</w:t>
      </w:r>
    </w:p>
    <w:p>
      <w:r>
        <w:rPr>
          <w:b/>
        </w:rPr>
        <w:t xml:space="preserve">Quelle: </w:t>
      </w:r>
      <w:r>
        <w:t>https://mcp.opencaselaw.ch/entscheid/ge_gerichte_ATAS_619_2005</w:t>
      </w:r>
    </w:p>
    <w:p>
      <w:r>
        <w:t>FR: GE_GERICHTE ATAS/619/2005 du 18 juillet 2005</w:t>
      </w:r>
    </w:p>
    <w:p>
      <w:r>
        <w:t>IT: GE_GERICHTE ATAS/619/2005 del 18 luglio 2005</w:t>
      </w:r>
    </w:p>
    <w:p>
      <w:pPr>
        <w:pStyle w:val="Heading2"/>
      </w:pPr>
      <w:r>
        <w:t>Erwägungen</w:t>
      </w:r>
    </w:p>
    <w:p>
      <w:r>
        <w:rPr>
          <w:b/>
        </w:rPr>
        <w:t>E. 1</w:t>
      </w:r>
    </w:p>
    <w:p>
      <w:r>
        <w:t>Par ordonnance du 25 septembre 2004, le Tribunal de céans s’est déclaré compétent pour juger du cas d’espèce et à déclaré le recours recevable.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A/1347/2004 - 13/20 -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Sur le fond, le Tribunal de céans relève que, la décision litigieuse ayant été rendue en date du 7 juin 2004 mais statuant sur un état de fait juridiquement déterminant remontant à fin 2002, le présent litige sera examiné à la lumière des dispositions de la LAI et de son règlement en vigueur jusqu’au 31 décembre 2002. Les dispositions légales seront dès lors citées dans leur ancienne teneur. Enfin, s’agissant des modifications de la LAI du 21 mars 2003, entrées en vigueur le 1er janvier 2004, elles seront citées dans la mesure de leur pertinence.</w:t>
      </w:r>
    </w:p>
    <w:p>
      <w:r>
        <w:rPr>
          <w:b/>
        </w:rPr>
        <w:t>E. 3</w:t>
      </w:r>
    </w:p>
    <w:p>
      <w:r>
        <w:t>L’art. 4 al.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A/1347/2004 - 14/20 -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w:t>
      </w:r>
    </w:p>
    <w:p>
      <w:r>
        <w:t>A/1347/2004 - 15/20 - trancher des points de droit (Bühler, Erwartungen des Richters an den Sachverständigen, in PJA 1999 p. 567 ss). S’agissant de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123 V 351).</w:t>
      </w:r>
    </w:p>
    <w:p>
      <w:r>
        <w:rPr>
          <w:b/>
        </w:rPr>
        <w:t>E. 4</w:t>
      </w:r>
    </w:p>
    <w:p>
      <w:r>
        <w:t>a)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b) En ce qui concerne les facteurs psychosociaux ou socioculturels et leur rôle en matière d'invalidité, le Tribunal fédéral des assurances, dans un arrêt B. du 5 octobre 2001 (ATF 127 V 294), a précisé sa jurisprudence relative aux atteintes à la santé psychique.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w:t>
      </w:r>
    </w:p>
    <w:p>
      <w:r>
        <w:t>A/1347/2004 - 16/20 - de l'assuré (VSI 2000 p. 155 consid. 3 ; arrêt du TFA du 9 novembre 2001, cause I 27/01).</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Meyer-Blaser, Bundesgesetz über die Invalidenversicherung [IVG] ad art. 28 LAI, p. 221). La réadaptation par soi-même est un aspect de l'obligation de diminuer le dommage (ATF 113 V 28 consid. 4a et les références) et prime aussi bien le droit à une rente qu'à celui des mesures de réadaptation (arrêt du TFA du 9 mai 2005, cause I 53/05). Ainsi, constitue également un principe essentiel du droit des assurances le fait que l’assuré doive se soumettre à une mesure thérapeutique apte à réduire le dommage assuré (telle une opération de nature à rendre utile la poursuite d’un traitement ambulatoire ou à permettre une reprise de l’activité lucrative (ATF 105 V 178).</w:t>
      </w:r>
    </w:p>
    <w:p>
      <w:r>
        <w:rPr>
          <w:b/>
        </w:rPr>
        <w:t>E. 6</w:t>
      </w:r>
    </w:p>
    <w:p>
      <w:r>
        <w:t>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Dès le 1er janvier 2004, l’art. 28 LAI a la teneur suivante : l’assuré a droit à un quart de rente s’il est invalide à 40 % au moins, à une demi-rente s'il est invalide à 50 % au moins, à trois-quarts de rente s'il est invalide à 60 % au moins et à une rente entière s'est est invalide à 70 %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w:t>
      </w:r>
    </w:p>
    <w:p>
      <w:r>
        <w:t>A/1347/2004 - 17/20 - Selon l’art. 29 al. 1 LAI, le droit à la rente au sens de l’art.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L’art. 29 al. 1 LAI en vigueur dès le 1er janvier 2003 a la même teneur.</w:t>
      </w:r>
    </w:p>
    <w:p>
      <w:r>
        <w:rPr>
          <w:b/>
        </w:rPr>
        <w:t>E. 7</w:t>
      </w:r>
    </w:p>
    <w:p>
      <w:r>
        <w:t>En l’espèce, le Tribunal de céans a jugé dans son ordonnance d’expertise du 14 février 2005 qu’une instruction complémentaire sous la forme d’une expertise psychiatrique confiée au Dr V_________ s’avérait nécessaire, dès lors qu’il apparaissait vraisemblable que la recourante avait vu son état s’aggraver depuis mai 2002, soit antérieurement à la décision litigieuse et postérieurement à l’expertise du Dr O_________. Le Dr V_________ a rendu son rapport d’expertise ainsi que son complément le 9 avril et le 30 mai 2005. S’agissant de la valeur probante de l’expertise du Dr V_________, il convient de relever qu’elle est fouillée, que le rapport se fonde sur des examens complets (la recourante ayant été examinée par l’expert à trois reprises, dont une en présence de son époux, l’expert s’était par ailleurs entretenu avec le médecin-traitant), qu’elle prend en compte les plaintes exprimées par la recourante, qu’elle a été établie en pleine connaissance du dossier (cf. chapitres 2 de l’expertise) et que la description de l’histoire médicale est claire. Concernant la motivation des conclusions de l’expert, si le rapport d’expertise du 9 avril 2005 n’était pas clair en ce sens que l’incapacité de travail de 50 % n’était pas motivée de façon cohérente, force est d’admettre que, dans le complément d’expertise du 30 mai 2005, l’expert a pallié ce défaut en expliquant de façon convaincante que l’état de santé de la recourante s’était aggravé depuis mars 2003, par l’apparition d’un trouble dépressif récurrent (épisodes dépressifs francs dès le printemps 2003) et l’aggravation d’un trouble anxieux (présent de longue date) entraînant de la fatigue physique et mentale, des difficultés de concentration et de mémoire, une résistance diminuée aux stress quotidiens et un comportement d’évitement, ayant pour conséquence une limitation de la capacité de travail à 50 %. En particulier, l’expert a expliqué que le terme « difficile à considérer comme invalidant » lequel qualifiait dans l’expertise le trouble anxieux, manquait de clarté. Le trouble anxieux, même s’il n’était pas possible de le spécifier, motivait l’incapacité partielle de travail. En outre la présence des autres problèmes psychiques (dépression chronique et récurrente, fragilité de la personnalité, léger retard mental) majorait les limitations imputables au trouble anxieux. Il existait de façon certaine un trouble anxieux sérieux mais le pronostic à long terme n’était pas possible car la maladie pouvait évoluer par la mise en place d’un traitement approprié. Il ne s’agissait en tous les cas pas d’un trouble anxieux non différencié, soit un trouble léger. Les diagnostics énoncés étaient distincts et se cumulaient, ce qui donnait un certain degré de sévérité à l’ensemble.</w:t>
      </w:r>
    </w:p>
    <w:p>
      <w:r>
        <w:t>A/1347/2004 - 18/20 - Au vu de ce qui précède, il convient de constater que l’expertise du Dr V_________ revêt force probante, au sens de la jurisprudence précitée.</w:t>
      </w:r>
    </w:p>
    <w:p>
      <w:r>
        <w:rPr>
          <w:b/>
        </w:rPr>
        <w:t>E. 8</w:t>
      </w:r>
    </w:p>
    <w:p>
      <w:r>
        <w:t>a) L’expert conclut à une capacité de travail de 50 % dans une activité simple et pratique depuis mars 2003, date de l’aggravation de l’état de santé de l’intéressée. En principe, la recourante, qui a subi une incapacité de travail de 50 % depuis mars 2003 en raison d’un état psychique maladif, remplit, dès mars 2004, soit antérieurement à la décision sur opposition datée du 7 juin 2004, la condition de l’ouverture du droit à la rente (art. 29 al. 1 let. a LAI). Cependant, se pose la question de la soumission de la recourante au traitement prescrit (let. b) ainsi que de l’influence éventuelle des facteurs psychosociaux et socioculturels (let. c). b) Dès lors que dans le domaine des assurances sociales l’assuré doit se soumettre à une mesure thérapeutique apte à réduire le dommage, il y a lieu d’admettre que le traitement décrit par l’expert et qualifié d’exigible, s’il est suivi correctement, devrait permettre à l’intéressée de retrouver une capacité de travail entière. Ainsi, depuis la date de l’expertise, soit avril 2005, l’on peut exiger de l’assurée que, dûment informée sur le traitement adéquat - lequel, en plus des médicaments déjà prescrits comprend un volet psychothérapeutique, (exposition méthodique aux situations qui provoquent de l’anxiété) - elle se soumette à celui-ci afin d’améliorer son état de santé et, par là-même, sa capacité de travail. Selon l’expert, un traitement régulièrement suivi durant une années est apte à améliorer le trouble anxieux, principale cause de l’incapacité de travail, de telle façon que celle-ci disparaisse. Par ailleurs, antérieurement à l’expertise, il ne ressort pas du dossier que l’assurée aurait refusé totalement de se soumettre à tout traitement, notamment prescrit par le Dr M_________, lequel atteste le 28 août 2003 de la présence d’une dépression justifiant un traitement d’antidépresseurs, puis prescrit par le Dr S_________ lequel a fait était le 28 octobre 2004 d’un trouble dépressif récurrent, épisode actuel sévère. Même si, selon les termes de l’expertise, la collaboration au traitement est variable, l’on ne saurait reprocher à l’assurée un refus de mesure thérapeutique entraînant un refus de prestations sociales. Par ailleurs, le volet psychothérapeutique décrit par l’expert et de nature à diminuer le trouble anxieux, principalement invalidant, n’a été proposé à l’assurée, selon les pièces au dossier, qu’à l’occasion de l’expertise du Dr V_________. On ne saurait en conséquence lui reprocher de ne pas l’avoir suivi plus tôt. c) S’agissant de l’influence des facteurs psychosociaux et socioculturels, il n’y a pas lieu de retenir qu’ils jouent un rôle de premier plan dans la survenance de l’incapacité de travail dès lors que l’expert estime que celle-ci est uniquement la conséquence des manifestations cognitives et comportementales de la dépression et de l’anxiété. Ainsi, le diagnostic médical de l’expert suffit pour expliquer l’incapacité de travail de 50 % de la recourante depuis mars 2003.</w:t>
      </w:r>
    </w:p>
    <w:p>
      <w:r>
        <w:t>A/1347/2004 - 19/20 -</w:t>
      </w:r>
    </w:p>
    <w:p>
      <w:r>
        <w:rPr>
          <w:b/>
        </w:rPr>
        <w:t>E. 9</w:t>
      </w:r>
    </w:p>
    <w:p>
      <w:r>
        <w:t>Au vu de ce qui précède, la recourante est en incapacité de travail de 50 % justifiée depuis mars 2003. Cette incapacité devrait cependant disparaître – moyennant un suivi régulier durant une année du traitement prescrit – dès avril 2006, soit une année après la date de l’expertise du Dr V_________. Ainsi, au-delà de mars 2006, la recourante devrait, selon l’expert, retrouver une capacité de travail entière. La recourante n’ayant exercé qu’un emploi de quelques mois comme vendeuse (Vet’Shop – Genève), il y a lieu de se référer aux données statistiques de l’enquête suisse sur la structure des salaires tant pour le gain sans invalidité que pour le gain avec invalidité. Le revenu pour une activité simple et pratique réalisable tant avant qu’après l’invalidité étant identique, le degré d’invalidité peut être arrêté à 50 %, sans qu’il ne soit nécessaire de se référer aux salaires chiffrés. Un degré d’invalidité de 50 % donne droit, selon l’art. 28 LAI entré en vigueur le 1er janvier 2004 à une demi-rente d’invalidité. En conséquence, la recourante a droit à une demi-rente depuis mars 2004. Il incombera cependant à l’OCAI de revoir le droit à la rente, au besoin par le biais d’une instruction complémentaire sous la forme d’un rapport d’expertise du Dr V_________, dans un délai de deux ans dès le début du droit.</w:t>
      </w:r>
    </w:p>
    <w:p>
      <w:r>
        <w:rPr>
          <w:b/>
        </w:rPr>
        <w:t>E. 10</w:t>
      </w:r>
    </w:p>
    <w:p>
      <w:r>
        <w:t>Au vu de ce qui précède, le recours sera partiellement admis, au sens des considérants.</w:t>
      </w:r>
    </w:p>
    <w:p>
      <w:r>
        <w:t>A/1347/2004 - 20/20 -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