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ATAS/618/2016 vom 10. August 2016</w:t>
      </w:r>
    </w:p>
    <w:p>
      <w:r>
        <w:t>GE Cour de justice, 2016-08-10, FR</w:t>
      </w:r>
    </w:p>
    <w:p>
      <w:r>
        <w:rPr>
          <w:b/>
        </w:rPr>
        <w:t xml:space="preserve">Quelle: </w:t>
      </w:r>
      <w:r>
        <w:t>https://mcp.opencaselaw.ch/entscheid/ge_gerichte_ATAS_618_2016</w:t>
      </w:r>
    </w:p>
    <w:p>
      <w:r>
        <w:t>FR: GE_GERICHTE ATAS/618/2016 du 10 août 2016</w:t>
      </w:r>
    </w:p>
    <w:p>
      <w:r>
        <w:t>IT: GE_GERICHTE ATAS/618/2016 del 10 agosto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A/4303/2015 - 5/10 -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complémentaires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w:t>
      </w:r>
    </w:p>
    <w:p>
      <w:r>
        <w:t>Il en va de même en matière de prestations complémentaires cantonales (cf. art. 1A let. b LPCC).</w:t>
      </w:r>
    </w:p>
    <w:p>
      <w:r>
        <w:rPr>
          <w:b/>
        </w:rPr>
        <w:t>E. 4</w:t>
      </w:r>
    </w:p>
    <w:p>
      <w:r>
        <w:t>Le litige porte sur la prise en charge de deux factures de soins dentaires datées des 25 juillet et 19 décembre 2013, d’un montant de CHF 4'061.40, respectivement CHF 4'077.25.</w:t>
      </w:r>
    </w:p>
    <w:p>
      <w:r>
        <w:rPr>
          <w:b/>
        </w:rPr>
        <w:t>E. 5</w:t>
      </w:r>
    </w:p>
    <w:p>
      <w:r>
        <w:t>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CHF 25'000.- pour les personnes seules ou les conjoints de personnes vivant dans un home ou un hôpital.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 les montants maximaux remboursés</w:t>
      </w:r>
    </w:p>
    <w:p>
      <w:r>
        <w:t>A/4303/2015 - 6/10 - correspondent aux montants figurant à l'article 14, alinéa 3, de la loi fédérale (ch. 1), et les remboursements sont limités aux dépenses nécessaires dans le cadre d'une fourniture économique et adéquate des prestations (ch. 2).</w:t>
      </w:r>
    </w:p>
    <w:p>
      <w:r>
        <w:t>b.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w:t>
      </w:r>
    </w:p>
    <w:p>
      <w:r>
        <w:rPr>
          <w:b/>
        </w:rPr>
        <w:t>E. 7</w:t>
      </w:r>
    </w:p>
    <w:p>
      <w:r>
        <w:t>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w:t>
      </w:r>
    </w:p>
    <w:p>
      <w:r>
        <w:t>A/4303/2015 - 8/10 - quant à l'impartialité ou au bien-fondé de l'évaluation (cf. ATF 125 V 351 consid. 3b p. 352 ; arrêt du Tribunal fédéral 9C_773/2007 du 23 juin 2008 consid. 5.2).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la décision de refus de l’intimé se fonde sur le fait que les traitements dentaires litigieux ne correspondraient pas à un traitement simple, économique et adéquat.</w:t>
      </w:r>
    </w:p>
    <w:p>
      <w:r>
        <w:t>Pour sa part, la recourante soutient en substance que si un voyage urgent en Italie ne l’avait pas empêchée de se rendre chez le Dr B______ le 5 mai 2015, elle aurait pu établir son droit au remboursement intégral des frais litigieux qui s’élevaient à CHF 8'138.65 « sans devis préalable ». Elle avait donc droit à une participation d’au moins CHF 3'000.- en toute hypothèse et même à une prise en charge intégrale au vu des circonstances particulières du cas d’espèce. Ce raisonnement repose sur des prémisses erronées. Premièrement, il ressort des explications données par le Dr B______ et des renseignements que celui-ci a pris auprès de la SMD que les deux factures litigieuses faisaient partie d’un traitement devisé à CHF 30'000.- « pour une prise en charge personnelle par le patient et ne [correspondant] pas aux modalités de prise en charge par une assurance sociale ». Il existait donc bel et bien un devis qui, de l’avis de la SMD et de l’expert B______, ne remplissait pas les critères de simplicité, d’économicité et d’adéquation posés par l’art. 10 al. 1 RFMPC. De plus, quoi qu’en dise la recourante, l’art. 10 al. 4 RFMPC ne consacre nullement une dérogation aux critères évoqués pour les devis n’excédant pas CHF 3'000.-, il fonde simplement une présomption que le traitement d'un coût supérieur à CHF 3'000.-, pour lequel aucun devis n'a été adressé à l'organe d'exécution, ne constitue pas un traitement simple, économique et adéquat (cf. ci-dessus : consid. 6d). Dans la mesure où dans le cas particulier, la recourante n’était pas au bénéfice de prestations complémentaires entre le 1er février 2012 et le 31 août 2014, il paraît certes malaisé de lui reprocher de ne pas avoir soumis au SPC le devis de la SMD, daté du 10 janvier 2013, pour approbation préalable. Il n’empêche : de telles circonstances particulières ne changent rien au fait que le remboursement de frais déjà encourus demeure, quoi qu’il en soit, subordonné à l’existence d’un traitement simple, économique et adéquat (cf. ATAS/1057/2013 consid. 7b). Du reste, l’intimé</w:t>
      </w:r>
    </w:p>
    <w:p>
      <w:r>
        <w:t>A/4303/2015 - 9/10 - ne s’est pas contenté de renvoyer la recourante à la présomption de l’art. 10 al. 4 RFMPC en lui laissant le soin d’apporter la preuve du contraire. Il a ouvert d’office une instruction portant sur les points pertinents en confiant un mandat d’expertise au Dr B______ puis en posant des questions complémentaires à cet expert. Enfin, la recourante a beau soutenir qu’elle aurait pu démontrer à l’expert que les conditions de simplicité, d’économicité et d’adéquation étaient remplies si son voyage en Italie ne l’en avait pas empêchée, elle n’a toutefois pas mis à profit son opposition du 6 juillet 2015, ni son recours du 27 novembre 2015, ni une quelconque réplique pour produire un rapport médical et/ou d’expertise qui mettrait en doute les prises de position claires et concordantes de son médecin traitant – soit la SMD – et de l’expert B______ sur la non réalisation des critères posés par l’art.</w:t>
      </w:r>
    </w:p>
    <w:p>
      <w:r>
        <w:rPr>
          <w:b/>
        </w:rPr>
        <w:t>E. 10</w:t>
      </w:r>
    </w:p>
    <w:p>
      <w:r>
        <w:t>Compte tenu de ce qui précède, le recours doit être rejeté.</w:t>
      </w:r>
    </w:p>
    <w:p>
      <w:r>
        <w:t>La procédure est gratuite (art. 61 let. a LPGA ; art. 89H al. 1 LPA).</w:t>
      </w:r>
    </w:p>
    <w:p>
      <w:r>
        <w:t>***</w:t>
      </w:r>
    </w:p>
    <w:p>
      <w:r>
        <w:t>A/4303/2015 - 10/10 -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