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ATAS/618/2008 vom 28. Mai 2008</w:t>
      </w:r>
    </w:p>
    <w:p>
      <w:r>
        <w:t>GE Cour de justice, 2008-05-28, FR</w:t>
      </w:r>
    </w:p>
    <w:p>
      <w:r>
        <w:rPr>
          <w:b/>
        </w:rPr>
        <w:t xml:space="preserve">Quelle: </w:t>
      </w:r>
      <w:r>
        <w:t>https://mcp.opencaselaw.ch/entscheid/ge_gerichte_ATAS_618_2008</w:t>
      </w:r>
    </w:p>
    <w:p>
      <w:r>
        <w:t>FR: GE_GERICHTE ATAS/618/2008 du 28 mai 2008</w:t>
      </w:r>
    </w:p>
    <w:p>
      <w:r>
        <w:t>IT: GE_GERICHTE ATAS/618/2008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w:t>
      </w:r>
    </w:p>
    <w:p>
      <w:r>
        <w:t>A/4763/2007 - 7/11 -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LPGA s’applique donc au cas d’espèce.</w:t>
      </w:r>
    </w:p>
    <w:p>
      <w:r>
        <w:rPr>
          <w:b/>
        </w:rPr>
        <w:t>E. 3</w:t>
      </w:r>
    </w:p>
    <w:p>
      <w:r>
        <w:t>La décision du 30 octobre 2007 a été notifiée au recourant par courrier B et a été reçue par ce dernier le 6 novembre 2007. Par conséquent, interjeté dans les forme et délai prescrits par la loi, le recours est recevable (art. 56 et 60 LPGA).</w:t>
      </w:r>
    </w:p>
    <w:p>
      <w:r>
        <w:rPr>
          <w:b/>
        </w:rPr>
        <w:t>E. 4</w:t>
      </w:r>
    </w:p>
    <w:p>
      <w:r>
        <w:t>L’objet du litige consiste à déterminer si, postérieurement à la décision de refus de prestations, le recourant présente une aggravation de son état de santé ou une nouvelle atteinte à la santé ouvrant droit à des prestations de l’assurance-invalidité.</w:t>
      </w:r>
    </w:p>
    <w:p>
      <w:r>
        <w:rPr>
          <w:b/>
        </w:rPr>
        <w:t>E. 5</w:t>
      </w:r>
    </w:p>
    <w:p>
      <w:r>
        <w:t>Selon l'art. 87 al. 4 RAI, lorsque la rente ou l'allocation pour impotent a été refusée parce que le degré d'invalidité était insuffisant ou parce qu'il n'y avait pas d'impotence, la nouvelle demande ne peut être examinée que si les conditions prévues à l'al. 3 sont remplies. D'après cet alinéa (dans sa teneur en vigueur dès le 1er mars 2004), lorsqu'une demande de révision est déposée, celle-ci doit établir de façon plausible que l'invalidité ou l'impotence de l'assuré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L'administration doit ainsi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Cependant, l'exigence sur le</w:t>
      </w:r>
    </w:p>
    <w:p>
      <w:r>
        <w:t>A/4763/2007 - 8/11 -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t>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w:t>
      </w:r>
    </w:p>
    <w:p>
      <w:r>
        <w:rPr>
          <w:b/>
        </w:rPr>
        <w:t>E. 6</w:t>
      </w:r>
    </w:p>
    <w:p>
      <w:r>
        <w:t>En l’espèce, postérieurement à la décision de refus de prestations, le recourant a subi un accident de moto le 10 septembre 2005 ayant entraîné une fracture comminutive supracondylienne et du condyle externe du fémur droit. En outre, une hépatite C active a été diagnostiquée, de même qu’une ostéoporose. Il s’agit-là d’atteintes nouvelles à la santé, de sorte que c'est à juste titre que l'intimé est entré en matière sur la nouvelle demande.</w:t>
      </w:r>
    </w:p>
    <w:p>
      <w:r>
        <w:t>A/4763/2007 - 9/11 - Selon les médecins, le recourant a présenté une incapacité de travail totale depuis le</w:t>
      </w:r>
    </w:p>
    <w:p>
      <w:r>
        <w:rPr>
          <w:b/>
        </w:rPr>
        <w:t>E. 10</w:t>
      </w:r>
    </w:p>
    <w:p>
      <w:r>
        <w:t>septembre 2005, suite à l'accident de moto, lors duquel une fracture comminutive supracondylienne et du condyle externe du fémur droit ont été diagnostiquées. Ces fractures ont nécessité deux osthéosynthèses, ainsi que de la rééducation. Les séquelles de l’accident entraînent des limitations fonctionnelles, telles que décrites par son médecin traitant dans son rapport du 3 avril 2007, à savoir que le recourant doit éviter la position à genoux, accroupie, le travail en hauteur, les horaires de travail irréguliers et les parcours à pied excédant 500 mètres. Il peut garder la position assise ou debout 4 heures par jour et la même position du corps 2 heures par jour. Selon le Dr L_________, l'incapacité de travail est totale depuis le 1er juin 2003 en tant que décolleteur, peintre ou magasinier; une activité légère, sans effort est exigible, à raison de 4 heures par jour. Selon le SMR, la capacité de travail du recourant est totale dans une activité adaptée, dès le mois de décembre 2005. Le Tribunal de céans constate qu'aucun rapport médical ne vient étayer cette appréciation. En effet, le Dr L_________ mentionne, certes, qu'une activité légère, sans effort, est exigible, mais seulement 4 heures par jours, ce qui correspond à un 50 %. Il n'indique toutefois pas depuis quand le recourant est apte à reprendre une activité adaptée. Quant aux médecins ayant soigné le recourant suite à son accident, ils ne se sont pas prononcés sur une reprise de travail. De surcroît, le dossier ne contient aucun renseignement médical concernant l'évolution de l'état de santé du recourant durant l'année 2006. Enfin, il y a lieu de relever que le recourant présente deux affections nouvelles, à savoir une hépatite C active ainsi qu'une ostéoporose, dont on ignore si elles ont des conséquence sur sa capacité de travail. S'agissant de la malformation du bras gauche, le dossier est muet sur ce point. Ainsi, rien au dossier ne permet de fixer une reprise de travail à 100 % dans une activité adaptée en décembre 2005 comme le fait le SMR. 7. Le Tribunal de céans n'est pas en mesure de statuer en l'état actuel du dossier, par trop lacunaire. La cause est en conséquence renvoyée à l'intimé afin qu'il procède à une expertise pluridisciplinaire. Les médecins devront se prononcer sur l'évolution de la capacité de travail du recourant au regard de l’ensemble de ses atteintes à la santé, décrire les limitations fonctionnelles, dire depuis quand une reprise de travail est exigible, dans quelle activité et à quel taux. Le cas échéant, l'intimé devra examiner si des mesures professionnelles devront être mises en place. 8. Le recourant, représenté par un avocat, a droit à une indemnité à titre de participation à ses frais et dépens, fixée en l’occurrence à 1'000 fr. (art. 61 let. g LPGA). 9. Au vu de l’issue du litige, un émolument de 500 fr. est mis à la charge de l’OCAI qui succombe (art. 69 al. 1bis LAI).</w:t>
      </w:r>
    </w:p>
    <w:p>
      <w:r>
        <w:t>A/4763/2007 - 10/11 -</w:t>
      </w:r>
    </w:p>
    <w:p>
      <w:r>
        <w:t>A/4763/2007 - 11/11 -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