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ATAS/618/2006 vom 19. Oktober 2004</w:t>
      </w:r>
    </w:p>
    <w:p>
      <w:r>
        <w:t>GE Cour de justice, 2004-10-19, FR</w:t>
      </w:r>
    </w:p>
    <w:p>
      <w:r>
        <w:rPr>
          <w:b/>
        </w:rPr>
        <w:t xml:space="preserve">Quelle: </w:t>
      </w:r>
      <w:r>
        <w:t>https://mcp.opencaselaw.ch/entscheid/ge_gerichte_ATAS_618_2006</w:t>
      </w:r>
    </w:p>
    <w:p>
      <w:r>
        <w:t>FR: GE_GERICHTE ATAS/618/2006 du 19 octobre 2004</w:t>
      </w:r>
    </w:p>
    <w:p>
      <w:r>
        <w:t>IT: GE_GERICHTE ATAS/618/2006 del 19 ottobre 2004</w:t>
      </w:r>
    </w:p>
    <w:p>
      <w:pPr>
        <w:pStyle w:val="Heading2"/>
      </w:pPr>
      <w:r>
        <w:t>Erwägungen</w:t>
      </w:r>
    </w:p>
    <w:p>
      <w:r>
        <w:rPr>
          <w:b/>
        </w:rPr>
        <w:t>E. 16</w:t>
      </w:r>
    </w:p>
    <w:p>
      <w:r>
        <w:t>Dans leurs écritures après enquêtes du 5 mai 2006, les recourantes constatent que le TFA a, jusque là, considéré qu'une durée de traitement palliatif de trois mois est insuffisante à l'ouverture du droit à l'IPAI mais n'a pas fixé de durée minimum. En l'occurrence, il y a lieu de retenir que l'assuré a survécu durant 7 à 8 mois après la fin du traitement curatif selon les déclarations du Dr B__________, ce qui doit être considéré comme suffisant. Elles considèrent qu'en présence d'une maladie dont l'issue est fatale, l'IPAI doit, quoi qu'il en soit, être accordée pour permettre à l'assuré de compenser, dans la mesure du possible et durant ses derniers mois de vie, la perte du plaisir de vivre et la souffrance intense qu'il endure. La circulaire de la SUVA, bien qu'inapplicable en l'espèce, va bel et bien dans ce sens.</w:t>
      </w:r>
    </w:p>
    <w:p>
      <w:r>
        <w:rPr>
          <w:b/>
        </w:rPr>
        <w:t>E. 17</w:t>
      </w:r>
    </w:p>
    <w:p>
      <w:r>
        <w:t>Après transmission aux parties des écritures après enquêtes, par pli du 10 mai 2006, la cause a été gardée à juger.</w:t>
      </w:r>
    </w:p>
    <w:p>
      <w:r>
        <w:t>A/4232/05 - 6/8 -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 2. 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w:t>
      </w:r>
    </w:p>
    <w:p>
      <w:r>
        <w:rPr>
          <w:b/>
        </w:rPr>
        <w:t>E. 20</w:t>
      </w:r>
    </w:p>
    <w:p>
      <w:r>
        <w:t>mars 1981 (LAA). 3.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les faits étant postérieurs au 1er janvier 2003. 4. Interjeté dans les forme et délai prévus par la loi le recours est recevable (art. 56 à 60 LPGA et 106 LAA). 5. 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w:t>
      </w:r>
    </w:p>
    <w:p>
      <w:r>
        <w:t>Selon l'art. 36 de l'ordonnance sur l'assurance-accidents (ci-après OLAA), une atteinte à l'intégrité est réputée durable lorsqu'il est prévisible qu'elle subsistera avec au moins la même gravité, pendant toute la vie; elle est réputée importante</w:t>
      </w:r>
    </w:p>
    <w:p>
      <w:r>
        <w:t>A/4232/05 - 7/8 - lorsque l'intégrité physique ou mentale subi, indépendamment de la diminution de la capacité de gain, une altération évidente ou grave.</w:t>
      </w:r>
    </w:p>
    <w:p>
      <w:r>
        <w:t>En cas de maladie professionnelle incurable, le droit le droit à l'IPAI n'est en principe pas exclu, car il est possible que l'état de santé devienne stationnaire et que l'assuré survive un certain temps avec une atteinte à l'intégrité. Aucune durée minimum de survie n'a été fixée par le TFA mais, en tout cas, une espérance de vie de l'ordre de 3 mois est insuffisante car le but de l'IPAI ne peut être atteint; une telle indemnité doit en effet servir à l'assuré et non constituer un dédommagement pour les héritiers (cf. ATFA du 23 décembre 2003 u 105/03).</w:t>
      </w:r>
    </w:p>
    <w:p>
      <w:r>
        <w:t>Comme l'IPAI est fixée en même temps que la rente invalidité (art. 14 al. 2 LAA) et que le droit à la rente prend naissance dès qu'il n'y a plus lieu d'attendre de la continuation du traitement médical une sensible amélioration de l'état de santé de l'assuré (art. 19 al. 1 LAA), il s'agit de déterminer le moment à partir duquel le traitement a cessé d'être curatif pour devenir palliatif ( ATFA du 4 avril 2002 cause U 327/00). C'est dès ce moment qu'une espérance de vie d'une certaine durée doit exister.</w:t>
      </w:r>
    </w:p>
    <w:p>
      <w:r>
        <w:t>Le TFA a admis que la survie d'un assuré durant une année dès la fin du traitement curatif ouvrait le droit à l'IPAI (cf. ATFA U 257/04).</w:t>
      </w:r>
    </w:p>
    <w:p>
      <w:r>
        <w:t>Dans le cas d'un mésothéliome, il n'existe pas de traitement curatif à proprement parler, et l'on parle ainsi de traitement à visée curative. En outre les traitements à visée curative et les traitements à titre palliatif sont administrés simultanément, le traitement palliatif pouvant être administré dès l'apparition de la tumeur (cf. appréciation médicale du Dr A__________ du 10 mars 2006). 6. Dans le cas d'espèce, le Dr B__________ a expliqué que le 17 novembre 2003 la décision avait été prise avec le patient de ne pas procéder à l'opération chirurgicale envisagée, en raison du bilan. Selon lui c'est à partir de ce moment que l'on ne pouvait plus attendre d'amélioration sensible de l'état de santé. Le traitement chimiothérapique à la vinorelbine a été poursuivi avec pour conséquence, certes de bloquer les cellules dans leurs divisions, préférentiellement les cellules tumorales, mais avec comme seul effet de retarder le décès, inexorable.</w:t>
      </w:r>
    </w:p>
    <w:p>
      <w:r>
        <w:t>Il convient dès lors d'admettre que l'assuré a survécu plus de 8,5 mois au-delà de cette date. 7. Par conséquent, le Tribunal de céans considère, vu la jurisprudence susmentionnée, que le droit à l'IPAI doit être reconnu aux recourantes. Le recours sera admis, et le dossier renvoyé à la SUVA pour en fixer le montant. 8. Les recourantes, qui obtiennent gain de cause, ont droit à des dépens qui seront fixés en l'espèce à 2'000 fr.</w:t>
      </w:r>
    </w:p>
    <w:p>
      <w:r>
        <w:t>A/4232/05 - 8/8 -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